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4" w:type="dxa"/>
        <w:tblCellMar>
          <w:left w:w="10" w:type="dxa"/>
          <w:right w:w="10" w:type="dxa"/>
        </w:tblCellMar>
        <w:tblLook w:val="0000" w:firstRow="0" w:lastRow="0" w:firstColumn="0" w:lastColumn="0" w:noHBand="0" w:noVBand="0"/>
      </w:tblPr>
      <w:tblGrid>
        <w:gridCol w:w="3209"/>
        <w:gridCol w:w="3209"/>
        <w:gridCol w:w="3366"/>
      </w:tblGrid>
      <w:tr w:rsidR="00E82CE3" w14:paraId="0C2912B5" w14:textId="77777777">
        <w:trPr>
          <w:trHeight w:val="1410"/>
        </w:trPr>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FDFC5" w14:textId="77777777" w:rsidR="00E82CE3" w:rsidRDefault="00793A01">
            <w:pPr>
              <w:pStyle w:val="Enttegche"/>
            </w:pPr>
            <w:bookmarkStart w:id="0" w:name="_Toc526153326"/>
            <w:bookmarkStart w:id="1" w:name="_Toc526153325"/>
            <w:bookmarkStart w:id="2" w:name="_Toc526153320"/>
            <w:bookmarkStart w:id="3" w:name="_Toc526222885"/>
            <w:bookmarkStart w:id="4" w:name="_Toc526222884"/>
            <w:bookmarkStart w:id="5" w:name="_Toc526153318"/>
            <w:bookmarkStart w:id="6" w:name="_Toc526153340"/>
            <w:bookmarkStart w:id="7" w:name="_Toc526153388"/>
            <w:bookmarkEnd w:id="0"/>
            <w:bookmarkEnd w:id="1"/>
            <w:bookmarkEnd w:id="2"/>
            <w:bookmarkEnd w:id="3"/>
            <w:bookmarkEnd w:id="4"/>
            <w:r>
              <w:rPr>
                <w:noProof/>
              </w:rPr>
              <w:drawing>
                <wp:inline distT="0" distB="0" distL="0" distR="0" wp14:anchorId="0DF5595D" wp14:editId="1871FB1C">
                  <wp:extent cx="1692508" cy="819567"/>
                  <wp:effectExtent l="0" t="0" r="2942"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692508" cy="819567"/>
                          </a:xfrm>
                          <a:prstGeom prst="rect">
                            <a:avLst/>
                          </a:prstGeom>
                          <a:noFill/>
                          <a:ln>
                            <a:noFill/>
                            <a:prstDash/>
                          </a:ln>
                        </pic:spPr>
                      </pic:pic>
                    </a:graphicData>
                  </a:graphic>
                </wp:inline>
              </w:drawing>
            </w:r>
          </w:p>
        </w:tc>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86508" w14:textId="77777777" w:rsidR="00E82CE3" w:rsidRDefault="00793A01">
            <w:pPr>
              <w:pStyle w:val="Enttegche"/>
            </w:pPr>
            <w:r>
              <w:rPr>
                <w:noProof/>
              </w:rPr>
              <w:drawing>
                <wp:inline distT="0" distB="0" distL="0" distR="0" wp14:anchorId="67BB2F18" wp14:editId="130AA854">
                  <wp:extent cx="1866336" cy="648154"/>
                  <wp:effectExtent l="0" t="0" r="564" b="0"/>
                  <wp:docPr id="2" name="Image 6" descr="Expertise France — Wikipédia"/>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866336" cy="648154"/>
                          </a:xfrm>
                          <a:prstGeom prst="rect">
                            <a:avLst/>
                          </a:prstGeom>
                          <a:noFill/>
                          <a:ln>
                            <a:noFill/>
                            <a:prstDash/>
                          </a:ln>
                        </pic:spPr>
                      </pic:pic>
                    </a:graphicData>
                  </a:graphic>
                </wp:inline>
              </w:drawing>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89CEC" w14:textId="77777777" w:rsidR="00E82CE3" w:rsidRDefault="00793A01">
            <w:pPr>
              <w:pStyle w:val="Enttegche"/>
            </w:pPr>
            <w:r>
              <w:rPr>
                <w:rFonts w:ascii="Arial" w:hAnsi="Arial" w:cs="Arial"/>
                <w:noProof/>
                <w:color w:val="001BA0"/>
                <w:sz w:val="20"/>
              </w:rPr>
              <w:drawing>
                <wp:anchor distT="0" distB="0" distL="114300" distR="114300" simplePos="0" relativeHeight="251659264" behindDoc="0" locked="0" layoutInCell="1" allowOverlap="1" wp14:anchorId="1AE8549E" wp14:editId="5E02EA6B">
                  <wp:simplePos x="0" y="0"/>
                  <wp:positionH relativeFrom="column">
                    <wp:posOffset>-5084</wp:posOffset>
                  </wp:positionH>
                  <wp:positionV relativeFrom="paragraph">
                    <wp:posOffset>161291</wp:posOffset>
                  </wp:positionV>
                  <wp:extent cx="1993904" cy="495933"/>
                  <wp:effectExtent l="0" t="0" r="6346" b="0"/>
                  <wp:wrapTight wrapText="bothSides">
                    <wp:wrapPolygon edited="0">
                      <wp:start x="0" y="0"/>
                      <wp:lineTo x="0" y="20769"/>
                      <wp:lineTo x="21462" y="20769"/>
                      <wp:lineTo x="21462" y="0"/>
                      <wp:lineTo x="0" y="0"/>
                    </wp:wrapPolygon>
                  </wp:wrapTight>
                  <wp:docPr id="3" name="Image 7" descr="Résultat d’images pour logo proparc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1993904" cy="495933"/>
                          </a:xfrm>
                          <a:prstGeom prst="rect">
                            <a:avLst/>
                          </a:prstGeom>
                          <a:noFill/>
                          <a:ln>
                            <a:noFill/>
                            <a:prstDash/>
                          </a:ln>
                        </pic:spPr>
                      </pic:pic>
                    </a:graphicData>
                  </a:graphic>
                </wp:anchor>
              </w:drawing>
            </w:r>
          </w:p>
        </w:tc>
      </w:tr>
    </w:tbl>
    <w:p w14:paraId="1EBF5EBB" w14:textId="77777777" w:rsidR="00E82CE3" w:rsidRDefault="00E82CE3">
      <w:pPr>
        <w:pStyle w:val="RedaliaNormal"/>
        <w:rPr>
          <w:sz w:val="40"/>
          <w:szCs w:val="40"/>
        </w:rPr>
      </w:pPr>
    </w:p>
    <w:p w14:paraId="2EA1EF85" w14:textId="77777777" w:rsidR="00E82CE3" w:rsidRDefault="00793A01">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14:paraId="156E9504" w14:textId="77777777" w:rsidR="00E82CE3" w:rsidRDefault="00E82CE3">
      <w:pPr>
        <w:pStyle w:val="RedaliaNormal"/>
      </w:pPr>
    </w:p>
    <w:p w14:paraId="4E5769CF" w14:textId="77777777" w:rsidR="00E82CE3" w:rsidRDefault="00E82CE3">
      <w:pPr>
        <w:pStyle w:val="RedaliaNormal"/>
        <w:jc w:val="center"/>
      </w:pPr>
    </w:p>
    <w:p w14:paraId="0A82FC40" w14:textId="77777777" w:rsidR="00E82CE3" w:rsidRDefault="00E82CE3">
      <w:pPr>
        <w:pStyle w:val="RedaliaNormal"/>
        <w:jc w:val="center"/>
      </w:pPr>
    </w:p>
    <w:p w14:paraId="5E13D2C1" w14:textId="77777777" w:rsidR="00E82CE3" w:rsidRDefault="00793A01">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sz w:val="24"/>
          <w:szCs w:val="24"/>
        </w:rPr>
      </w:pPr>
      <w:r>
        <w:rPr>
          <w:b/>
          <w:bCs/>
          <w:sz w:val="24"/>
          <w:szCs w:val="24"/>
        </w:rPr>
        <w:t>Agence Française de Développement</w:t>
      </w:r>
    </w:p>
    <w:p w14:paraId="39891619" w14:textId="77777777" w:rsidR="00E82CE3" w:rsidRDefault="00793A01">
      <w:pPr>
        <w:pStyle w:val="RedaliaNormal"/>
        <w:pBdr>
          <w:top w:val="single" w:sz="4" w:space="1" w:color="000000"/>
          <w:left w:val="single" w:sz="4" w:space="4" w:color="000000"/>
          <w:bottom w:val="single" w:sz="4" w:space="1" w:color="000000"/>
          <w:right w:val="single" w:sz="4" w:space="4" w:color="000000"/>
        </w:pBdr>
        <w:shd w:val="clear" w:color="auto" w:fill="B4C6E7"/>
        <w:jc w:val="center"/>
      </w:pPr>
      <w:r>
        <w:t>5 Rue Roland BARTHES</w:t>
      </w:r>
    </w:p>
    <w:p w14:paraId="5B218AB5" w14:textId="77777777" w:rsidR="00E82CE3" w:rsidRDefault="00793A01">
      <w:pPr>
        <w:pStyle w:val="RedaliaNormal"/>
        <w:pBdr>
          <w:top w:val="single" w:sz="4" w:space="1" w:color="000000"/>
          <w:left w:val="single" w:sz="4" w:space="4" w:color="000000"/>
          <w:bottom w:val="single" w:sz="4" w:space="1" w:color="000000"/>
          <w:right w:val="single" w:sz="4" w:space="4" w:color="000000"/>
        </w:pBdr>
        <w:shd w:val="clear" w:color="auto" w:fill="B4C6E7"/>
        <w:jc w:val="center"/>
      </w:pPr>
      <w:r>
        <w:t>75012 PARIS</w:t>
      </w:r>
    </w:p>
    <w:p w14:paraId="30D3227D" w14:textId="77777777" w:rsidR="00E82CE3" w:rsidRDefault="00E82CE3">
      <w:pPr>
        <w:pStyle w:val="RedaliaNormal"/>
        <w:jc w:val="center"/>
      </w:pPr>
    </w:p>
    <w:p w14:paraId="341F0394" w14:textId="6C58C64E" w:rsidR="00B66DB5" w:rsidRDefault="00793A01" w:rsidP="00B66DB5">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w:t>
      </w:r>
      <w:r w:rsidR="002B4429">
        <w:rPr>
          <w:b/>
          <w:bCs/>
        </w:rPr>
        <w:t xml:space="preserve"> : </w:t>
      </w:r>
      <w:r w:rsidR="00B66DB5">
        <w:rPr>
          <w:b/>
          <w:bCs/>
        </w:rPr>
        <w:t xml:space="preserve">ACCORD CADRE CONSEIL EN TRANSFORMATION ET ORGANISATION </w:t>
      </w:r>
    </w:p>
    <w:p w14:paraId="24D91371" w14:textId="77777777" w:rsidR="00B66DB5" w:rsidRDefault="00B66DB5" w:rsidP="00B66DB5">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(MARCHES SUBSEQUENTS ET BON DE COMMANDES)</w:t>
      </w:r>
    </w:p>
    <w:p w14:paraId="36AA7D29" w14:textId="77777777" w:rsidR="00E82CE3" w:rsidRDefault="00E82CE3">
      <w:pPr>
        <w:pStyle w:val="RedaliaNormal"/>
      </w:pPr>
    </w:p>
    <w:p w14:paraId="45905839" w14:textId="77777777" w:rsidR="00E82CE3" w:rsidRDefault="00793A01">
      <w:pPr>
        <w:pStyle w:val="RdaliaTitreparagraphe"/>
      </w:pPr>
      <w:r>
        <w:t>Date limite de remise des candidatures</w:t>
      </w:r>
    </w:p>
    <w:p w14:paraId="4D9563BD" w14:textId="7592F8A7" w:rsidR="00E82CE3" w:rsidRDefault="00A647EC">
      <w:pPr>
        <w:pStyle w:val="RedaliaNormal"/>
      </w:pPr>
      <w:r>
        <w:t xml:space="preserve">Date : </w:t>
      </w:r>
      <w:r w:rsidR="003E6AB7">
        <w:t>30</w:t>
      </w:r>
      <w:bookmarkStart w:id="8" w:name="_GoBack"/>
      <w:bookmarkEnd w:id="8"/>
      <w:r w:rsidR="00793A01">
        <w:t>/05/2025</w:t>
      </w:r>
    </w:p>
    <w:p w14:paraId="77202C1D" w14:textId="77777777" w:rsidR="00E82CE3" w:rsidRDefault="00793A01">
      <w:pPr>
        <w:pStyle w:val="RedaliaNormal"/>
      </w:pPr>
      <w:r>
        <w:t>Heure : 12:00 (heure de Paris)</w:t>
      </w:r>
    </w:p>
    <w:p w14:paraId="6860F385" w14:textId="77777777" w:rsidR="00E82CE3" w:rsidRDefault="00793A01">
      <w:pPr>
        <w:pStyle w:val="RdaliaTitreparagraphe"/>
      </w:pPr>
      <w:r>
        <w:t>Date limite de remise des offres</w:t>
      </w:r>
    </w:p>
    <w:p w14:paraId="6A6B30F3" w14:textId="744A07A5" w:rsidR="00E82CE3" w:rsidRDefault="00793A01">
      <w:pPr>
        <w:pStyle w:val="RedaliaNormal"/>
      </w:pPr>
      <w:r>
        <w:t xml:space="preserve">Date : </w:t>
      </w:r>
      <w:r w:rsidR="00BF281E">
        <w:t>15</w:t>
      </w:r>
      <w:r>
        <w:t>/07/2025 (estimatif)</w:t>
      </w:r>
    </w:p>
    <w:p w14:paraId="2D41BFE2" w14:textId="77777777" w:rsidR="00E82CE3" w:rsidRDefault="00793A01">
      <w:pPr>
        <w:pStyle w:val="RedaliaNormal"/>
      </w:pPr>
      <w:r>
        <w:t>Heure : 12:00 (heure de Paris)</w:t>
      </w:r>
    </w:p>
    <w:p w14:paraId="4E6B0044" w14:textId="77777777" w:rsidR="00E82CE3" w:rsidRDefault="00E82CE3">
      <w:pPr>
        <w:pStyle w:val="RedaliaNormal"/>
      </w:pPr>
    </w:p>
    <w:p w14:paraId="79F60F42" w14:textId="77777777" w:rsidR="00E82CE3" w:rsidRDefault="00E82CE3">
      <w:pPr>
        <w:pStyle w:val="RedaliaNormal"/>
      </w:pPr>
    </w:p>
    <w:p w14:paraId="6FB46005" w14:textId="77777777" w:rsidR="00E82CE3" w:rsidRDefault="00E82CE3">
      <w:pPr>
        <w:pStyle w:val="RedaliaSoustitredocument"/>
      </w:pPr>
    </w:p>
    <w:p w14:paraId="75D48232" w14:textId="77777777" w:rsidR="00E82CE3" w:rsidRDefault="00E82CE3">
      <w:pPr>
        <w:pStyle w:val="RedaliaSoustitredocument"/>
      </w:pPr>
    </w:p>
    <w:p w14:paraId="7493A508" w14:textId="77777777" w:rsidR="00E82CE3" w:rsidRDefault="00793A01">
      <w:pPr>
        <w:pStyle w:val="RedaliaSoustitredocument"/>
        <w:pBdr>
          <w:top w:val="single" w:sz="4" w:space="1" w:color="000000"/>
          <w:left w:val="single" w:sz="4" w:space="4" w:color="000000"/>
          <w:bottom w:val="single" w:sz="4" w:space="1" w:color="000000"/>
          <w:right w:val="single" w:sz="4" w:space="4" w:color="000000"/>
        </w:pBdr>
        <w:shd w:val="clear" w:color="auto" w:fill="B4C6E7"/>
        <w:rPr>
          <w:b/>
          <w:sz w:val="24"/>
          <w:szCs w:val="24"/>
        </w:rPr>
      </w:pPr>
      <w:r>
        <w:rPr>
          <w:b/>
          <w:sz w:val="24"/>
          <w:szCs w:val="24"/>
        </w:rPr>
        <w:t>Règlement de la consultation</w:t>
      </w:r>
    </w:p>
    <w:p w14:paraId="5F2F2142" w14:textId="77777777" w:rsidR="00E82CE3" w:rsidRDefault="00E82CE3">
      <w:pPr>
        <w:pStyle w:val="RedaliaNormal"/>
      </w:pPr>
    </w:p>
    <w:p w14:paraId="2E1BDCD6" w14:textId="77777777" w:rsidR="00E82CE3" w:rsidRDefault="00E82CE3"/>
    <w:p w14:paraId="7DF3BAE1" w14:textId="77777777" w:rsidR="00E82CE3" w:rsidRDefault="00E82CE3">
      <w:pPr>
        <w:pStyle w:val="RedaliaNormal"/>
        <w:pageBreakBefore/>
      </w:pPr>
    </w:p>
    <w:p w14:paraId="0A555256" w14:textId="77777777" w:rsidR="00E82CE3" w:rsidRDefault="00793A01">
      <w:pPr>
        <w:pStyle w:val="RdaliaTitredossier"/>
      </w:pPr>
      <w:r>
        <w:t>SOMMAIRE</w:t>
      </w:r>
    </w:p>
    <w:p w14:paraId="064465D1" w14:textId="77777777" w:rsidR="00E82CE3" w:rsidRDefault="00E82CE3">
      <w:pPr>
        <w:pStyle w:val="RedaliaNormal"/>
      </w:pPr>
    </w:p>
    <w:p w14:paraId="6851DE6A" w14:textId="164C888C" w:rsidR="0042312C" w:rsidRDefault="00793A01">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196406031" w:history="1">
        <w:r w:rsidR="0042312C" w:rsidRPr="005A5079">
          <w:rPr>
            <w:rStyle w:val="Lienhypertexte"/>
            <w:noProof/>
          </w:rPr>
          <w:t>1.</w:t>
        </w:r>
        <w:r w:rsidR="0042312C">
          <w:rPr>
            <w:rFonts w:asciiTheme="minorHAnsi" w:eastAsiaTheme="minorEastAsia" w:hAnsiTheme="minorHAnsi" w:cstheme="minorBidi"/>
            <w:b w:val="0"/>
            <w:noProof/>
            <w:kern w:val="0"/>
            <w:sz w:val="22"/>
            <w:szCs w:val="22"/>
          </w:rPr>
          <w:tab/>
        </w:r>
        <w:r w:rsidR="0042312C" w:rsidRPr="005A5079">
          <w:rPr>
            <w:rStyle w:val="Lienhypertexte"/>
            <w:noProof/>
          </w:rPr>
          <w:t>Objet de l’accord-cadre – Caractéristiques principales</w:t>
        </w:r>
        <w:r w:rsidR="0042312C">
          <w:rPr>
            <w:noProof/>
          </w:rPr>
          <w:tab/>
        </w:r>
        <w:r w:rsidR="0042312C">
          <w:rPr>
            <w:noProof/>
          </w:rPr>
          <w:fldChar w:fldCharType="begin"/>
        </w:r>
        <w:r w:rsidR="0042312C">
          <w:rPr>
            <w:noProof/>
          </w:rPr>
          <w:instrText xml:space="preserve"> PAGEREF _Toc196406031 \h </w:instrText>
        </w:r>
        <w:r w:rsidR="0042312C">
          <w:rPr>
            <w:noProof/>
          </w:rPr>
        </w:r>
        <w:r w:rsidR="0042312C">
          <w:rPr>
            <w:noProof/>
          </w:rPr>
          <w:fldChar w:fldCharType="separate"/>
        </w:r>
        <w:r w:rsidR="0042312C">
          <w:rPr>
            <w:noProof/>
          </w:rPr>
          <w:t>3</w:t>
        </w:r>
        <w:r w:rsidR="0042312C">
          <w:rPr>
            <w:noProof/>
          </w:rPr>
          <w:fldChar w:fldCharType="end"/>
        </w:r>
      </w:hyperlink>
    </w:p>
    <w:p w14:paraId="27CE78E7" w14:textId="02F00887" w:rsidR="0042312C" w:rsidRDefault="008442D6">
      <w:pPr>
        <w:pStyle w:val="TM2"/>
        <w:tabs>
          <w:tab w:val="left" w:pos="799"/>
        </w:tabs>
        <w:rPr>
          <w:rFonts w:asciiTheme="minorHAnsi" w:eastAsiaTheme="minorEastAsia" w:hAnsiTheme="minorHAnsi" w:cstheme="minorBidi"/>
          <w:noProof/>
          <w:szCs w:val="22"/>
        </w:rPr>
      </w:pPr>
      <w:hyperlink w:anchor="_Toc196406032" w:history="1">
        <w:r w:rsidR="0042312C" w:rsidRPr="005A5079">
          <w:rPr>
            <w:rStyle w:val="Lienhypertexte"/>
            <w:noProof/>
          </w:rPr>
          <w:t>1.1</w:t>
        </w:r>
        <w:r w:rsidR="0042312C">
          <w:rPr>
            <w:rFonts w:asciiTheme="minorHAnsi" w:eastAsiaTheme="minorEastAsia" w:hAnsiTheme="minorHAnsi" w:cstheme="minorBidi"/>
            <w:noProof/>
            <w:szCs w:val="22"/>
          </w:rPr>
          <w:tab/>
        </w:r>
        <w:r w:rsidR="0042312C" w:rsidRPr="005A5079">
          <w:rPr>
            <w:rStyle w:val="Lienhypertexte"/>
            <w:noProof/>
          </w:rPr>
          <w:t>Objet de l’accord-cadre</w:t>
        </w:r>
        <w:r w:rsidR="0042312C">
          <w:rPr>
            <w:noProof/>
          </w:rPr>
          <w:tab/>
        </w:r>
        <w:r w:rsidR="0042312C">
          <w:rPr>
            <w:noProof/>
          </w:rPr>
          <w:fldChar w:fldCharType="begin"/>
        </w:r>
        <w:r w:rsidR="0042312C">
          <w:rPr>
            <w:noProof/>
          </w:rPr>
          <w:instrText xml:space="preserve"> PAGEREF _Toc196406032 \h </w:instrText>
        </w:r>
        <w:r w:rsidR="0042312C">
          <w:rPr>
            <w:noProof/>
          </w:rPr>
        </w:r>
        <w:r w:rsidR="0042312C">
          <w:rPr>
            <w:noProof/>
          </w:rPr>
          <w:fldChar w:fldCharType="separate"/>
        </w:r>
        <w:r w:rsidR="0042312C">
          <w:rPr>
            <w:noProof/>
          </w:rPr>
          <w:t>3</w:t>
        </w:r>
        <w:r w:rsidR="0042312C">
          <w:rPr>
            <w:noProof/>
          </w:rPr>
          <w:fldChar w:fldCharType="end"/>
        </w:r>
      </w:hyperlink>
    </w:p>
    <w:p w14:paraId="3700FB14" w14:textId="18DF8A46" w:rsidR="0042312C" w:rsidRDefault="008442D6">
      <w:pPr>
        <w:pStyle w:val="TM2"/>
        <w:tabs>
          <w:tab w:val="left" w:pos="799"/>
        </w:tabs>
        <w:rPr>
          <w:rFonts w:asciiTheme="minorHAnsi" w:eastAsiaTheme="minorEastAsia" w:hAnsiTheme="minorHAnsi" w:cstheme="minorBidi"/>
          <w:noProof/>
          <w:szCs w:val="22"/>
        </w:rPr>
      </w:pPr>
      <w:hyperlink w:anchor="_Toc196406033" w:history="1">
        <w:r w:rsidR="0042312C" w:rsidRPr="005A5079">
          <w:rPr>
            <w:rStyle w:val="Lienhypertexte"/>
            <w:noProof/>
          </w:rPr>
          <w:t>1.2</w:t>
        </w:r>
        <w:r w:rsidR="0042312C">
          <w:rPr>
            <w:rFonts w:asciiTheme="minorHAnsi" w:eastAsiaTheme="minorEastAsia" w:hAnsiTheme="minorHAnsi" w:cstheme="minorBidi"/>
            <w:noProof/>
            <w:szCs w:val="22"/>
          </w:rPr>
          <w:tab/>
        </w:r>
        <w:r w:rsidR="0042312C" w:rsidRPr="005A5079">
          <w:rPr>
            <w:rStyle w:val="Lienhypertexte"/>
            <w:noProof/>
          </w:rPr>
          <w:t>Lieu d’exécution</w:t>
        </w:r>
        <w:r w:rsidR="0042312C">
          <w:rPr>
            <w:noProof/>
          </w:rPr>
          <w:tab/>
        </w:r>
        <w:r w:rsidR="0042312C">
          <w:rPr>
            <w:noProof/>
          </w:rPr>
          <w:fldChar w:fldCharType="begin"/>
        </w:r>
        <w:r w:rsidR="0042312C">
          <w:rPr>
            <w:noProof/>
          </w:rPr>
          <w:instrText xml:space="preserve"> PAGEREF _Toc196406033 \h </w:instrText>
        </w:r>
        <w:r w:rsidR="0042312C">
          <w:rPr>
            <w:noProof/>
          </w:rPr>
        </w:r>
        <w:r w:rsidR="0042312C">
          <w:rPr>
            <w:noProof/>
          </w:rPr>
          <w:fldChar w:fldCharType="separate"/>
        </w:r>
        <w:r w:rsidR="0042312C">
          <w:rPr>
            <w:noProof/>
          </w:rPr>
          <w:t>3</w:t>
        </w:r>
        <w:r w:rsidR="0042312C">
          <w:rPr>
            <w:noProof/>
          </w:rPr>
          <w:fldChar w:fldCharType="end"/>
        </w:r>
      </w:hyperlink>
    </w:p>
    <w:p w14:paraId="3BACFAD8" w14:textId="01F72B3F" w:rsidR="0042312C" w:rsidRDefault="008442D6">
      <w:pPr>
        <w:pStyle w:val="TM2"/>
        <w:tabs>
          <w:tab w:val="left" w:pos="799"/>
        </w:tabs>
        <w:rPr>
          <w:rFonts w:asciiTheme="minorHAnsi" w:eastAsiaTheme="minorEastAsia" w:hAnsiTheme="minorHAnsi" w:cstheme="minorBidi"/>
          <w:noProof/>
          <w:szCs w:val="22"/>
        </w:rPr>
      </w:pPr>
      <w:hyperlink w:anchor="_Toc196406034" w:history="1">
        <w:r w:rsidR="0042312C" w:rsidRPr="005A5079">
          <w:rPr>
            <w:rStyle w:val="Lienhypertexte"/>
            <w:noProof/>
          </w:rPr>
          <w:t>1.3</w:t>
        </w:r>
        <w:r w:rsidR="0042312C">
          <w:rPr>
            <w:rFonts w:asciiTheme="minorHAnsi" w:eastAsiaTheme="minorEastAsia" w:hAnsiTheme="minorHAnsi" w:cstheme="minorBidi"/>
            <w:noProof/>
            <w:szCs w:val="22"/>
          </w:rPr>
          <w:tab/>
        </w:r>
        <w:r w:rsidR="0042312C" w:rsidRPr="005A5079">
          <w:rPr>
            <w:rStyle w:val="Lienhypertexte"/>
            <w:noProof/>
          </w:rPr>
          <w:t>Forme de l’accord-cadre</w:t>
        </w:r>
        <w:r w:rsidR="0042312C">
          <w:rPr>
            <w:noProof/>
          </w:rPr>
          <w:tab/>
        </w:r>
        <w:r w:rsidR="0042312C">
          <w:rPr>
            <w:noProof/>
          </w:rPr>
          <w:fldChar w:fldCharType="begin"/>
        </w:r>
        <w:r w:rsidR="0042312C">
          <w:rPr>
            <w:noProof/>
          </w:rPr>
          <w:instrText xml:space="preserve"> PAGEREF _Toc196406034 \h </w:instrText>
        </w:r>
        <w:r w:rsidR="0042312C">
          <w:rPr>
            <w:noProof/>
          </w:rPr>
        </w:r>
        <w:r w:rsidR="0042312C">
          <w:rPr>
            <w:noProof/>
          </w:rPr>
          <w:fldChar w:fldCharType="separate"/>
        </w:r>
        <w:r w:rsidR="0042312C">
          <w:rPr>
            <w:noProof/>
          </w:rPr>
          <w:t>3</w:t>
        </w:r>
        <w:r w:rsidR="0042312C">
          <w:rPr>
            <w:noProof/>
          </w:rPr>
          <w:fldChar w:fldCharType="end"/>
        </w:r>
      </w:hyperlink>
    </w:p>
    <w:p w14:paraId="761FFC5E" w14:textId="3F267CCE" w:rsidR="0042312C" w:rsidRDefault="008442D6">
      <w:pPr>
        <w:pStyle w:val="TM2"/>
        <w:tabs>
          <w:tab w:val="left" w:pos="799"/>
        </w:tabs>
        <w:rPr>
          <w:rFonts w:asciiTheme="minorHAnsi" w:eastAsiaTheme="minorEastAsia" w:hAnsiTheme="minorHAnsi" w:cstheme="minorBidi"/>
          <w:noProof/>
          <w:szCs w:val="22"/>
        </w:rPr>
      </w:pPr>
      <w:hyperlink w:anchor="_Toc196406035" w:history="1">
        <w:r w:rsidR="0042312C" w:rsidRPr="005A5079">
          <w:rPr>
            <w:rStyle w:val="Lienhypertexte"/>
            <w:noProof/>
          </w:rPr>
          <w:t>1.4</w:t>
        </w:r>
        <w:r w:rsidR="0042312C">
          <w:rPr>
            <w:rFonts w:asciiTheme="minorHAnsi" w:eastAsiaTheme="minorEastAsia" w:hAnsiTheme="minorHAnsi" w:cstheme="minorBidi"/>
            <w:noProof/>
            <w:szCs w:val="22"/>
          </w:rPr>
          <w:tab/>
        </w:r>
        <w:r w:rsidR="0042312C" w:rsidRPr="005A5079">
          <w:rPr>
            <w:rStyle w:val="Lienhypertexte"/>
            <w:noProof/>
          </w:rPr>
          <w:t>Marchés de prestations similaires</w:t>
        </w:r>
        <w:r w:rsidR="0042312C">
          <w:rPr>
            <w:noProof/>
          </w:rPr>
          <w:tab/>
        </w:r>
        <w:r w:rsidR="0042312C">
          <w:rPr>
            <w:noProof/>
          </w:rPr>
          <w:fldChar w:fldCharType="begin"/>
        </w:r>
        <w:r w:rsidR="0042312C">
          <w:rPr>
            <w:noProof/>
          </w:rPr>
          <w:instrText xml:space="preserve"> PAGEREF _Toc196406035 \h </w:instrText>
        </w:r>
        <w:r w:rsidR="0042312C">
          <w:rPr>
            <w:noProof/>
          </w:rPr>
        </w:r>
        <w:r w:rsidR="0042312C">
          <w:rPr>
            <w:noProof/>
          </w:rPr>
          <w:fldChar w:fldCharType="separate"/>
        </w:r>
        <w:r w:rsidR="0042312C">
          <w:rPr>
            <w:noProof/>
          </w:rPr>
          <w:t>3</w:t>
        </w:r>
        <w:r w:rsidR="0042312C">
          <w:rPr>
            <w:noProof/>
          </w:rPr>
          <w:fldChar w:fldCharType="end"/>
        </w:r>
      </w:hyperlink>
    </w:p>
    <w:p w14:paraId="4421A26D" w14:textId="404C7EF5" w:rsidR="0042312C" w:rsidRDefault="008442D6">
      <w:pPr>
        <w:pStyle w:val="TM1"/>
        <w:tabs>
          <w:tab w:val="left" w:pos="601"/>
        </w:tabs>
        <w:rPr>
          <w:rFonts w:asciiTheme="minorHAnsi" w:eastAsiaTheme="minorEastAsia" w:hAnsiTheme="minorHAnsi" w:cstheme="minorBidi"/>
          <w:b w:val="0"/>
          <w:noProof/>
          <w:kern w:val="0"/>
          <w:sz w:val="22"/>
          <w:szCs w:val="22"/>
        </w:rPr>
      </w:pPr>
      <w:hyperlink w:anchor="_Toc196406036" w:history="1">
        <w:r w:rsidR="0042312C" w:rsidRPr="005A5079">
          <w:rPr>
            <w:rStyle w:val="Lienhypertexte"/>
            <w:noProof/>
          </w:rPr>
          <w:t>2.</w:t>
        </w:r>
        <w:r w:rsidR="0042312C">
          <w:rPr>
            <w:rFonts w:asciiTheme="minorHAnsi" w:eastAsiaTheme="minorEastAsia" w:hAnsiTheme="minorHAnsi" w:cstheme="minorBidi"/>
            <w:b w:val="0"/>
            <w:noProof/>
            <w:kern w:val="0"/>
            <w:sz w:val="22"/>
            <w:szCs w:val="22"/>
          </w:rPr>
          <w:tab/>
        </w:r>
        <w:r w:rsidR="0042312C" w:rsidRPr="005A5079">
          <w:rPr>
            <w:rStyle w:val="Lienhypertexte"/>
            <w:noProof/>
          </w:rPr>
          <w:t>Conditions de la consultation</w:t>
        </w:r>
        <w:r w:rsidR="0042312C">
          <w:rPr>
            <w:noProof/>
          </w:rPr>
          <w:tab/>
        </w:r>
        <w:r w:rsidR="0042312C">
          <w:rPr>
            <w:noProof/>
          </w:rPr>
          <w:fldChar w:fldCharType="begin"/>
        </w:r>
        <w:r w:rsidR="0042312C">
          <w:rPr>
            <w:noProof/>
          </w:rPr>
          <w:instrText xml:space="preserve"> PAGEREF _Toc196406036 \h </w:instrText>
        </w:r>
        <w:r w:rsidR="0042312C">
          <w:rPr>
            <w:noProof/>
          </w:rPr>
        </w:r>
        <w:r w:rsidR="0042312C">
          <w:rPr>
            <w:noProof/>
          </w:rPr>
          <w:fldChar w:fldCharType="separate"/>
        </w:r>
        <w:r w:rsidR="0042312C">
          <w:rPr>
            <w:noProof/>
          </w:rPr>
          <w:t>3</w:t>
        </w:r>
        <w:r w:rsidR="0042312C">
          <w:rPr>
            <w:noProof/>
          </w:rPr>
          <w:fldChar w:fldCharType="end"/>
        </w:r>
      </w:hyperlink>
    </w:p>
    <w:p w14:paraId="5961083D" w14:textId="472491F5" w:rsidR="0042312C" w:rsidRDefault="008442D6">
      <w:pPr>
        <w:pStyle w:val="TM2"/>
        <w:tabs>
          <w:tab w:val="left" w:pos="799"/>
        </w:tabs>
        <w:rPr>
          <w:rFonts w:asciiTheme="minorHAnsi" w:eastAsiaTheme="minorEastAsia" w:hAnsiTheme="minorHAnsi" w:cstheme="minorBidi"/>
          <w:noProof/>
          <w:szCs w:val="22"/>
        </w:rPr>
      </w:pPr>
      <w:hyperlink w:anchor="_Toc196406037" w:history="1">
        <w:r w:rsidR="0042312C" w:rsidRPr="005A5079">
          <w:rPr>
            <w:rStyle w:val="Lienhypertexte"/>
            <w:noProof/>
          </w:rPr>
          <w:t>2.1</w:t>
        </w:r>
        <w:r w:rsidR="0042312C">
          <w:rPr>
            <w:rFonts w:asciiTheme="minorHAnsi" w:eastAsiaTheme="minorEastAsia" w:hAnsiTheme="minorHAnsi" w:cstheme="minorBidi"/>
            <w:noProof/>
            <w:szCs w:val="22"/>
          </w:rPr>
          <w:tab/>
        </w:r>
        <w:r w:rsidR="0042312C" w:rsidRPr="005A5079">
          <w:rPr>
            <w:rStyle w:val="Lienhypertexte"/>
            <w:noProof/>
          </w:rPr>
          <w:t>Mode de dévolution : accords-cadres séparés</w:t>
        </w:r>
        <w:r w:rsidR="0042312C">
          <w:rPr>
            <w:noProof/>
          </w:rPr>
          <w:tab/>
        </w:r>
        <w:r w:rsidR="0042312C">
          <w:rPr>
            <w:noProof/>
          </w:rPr>
          <w:fldChar w:fldCharType="begin"/>
        </w:r>
        <w:r w:rsidR="0042312C">
          <w:rPr>
            <w:noProof/>
          </w:rPr>
          <w:instrText xml:space="preserve"> PAGEREF _Toc196406037 \h </w:instrText>
        </w:r>
        <w:r w:rsidR="0042312C">
          <w:rPr>
            <w:noProof/>
          </w:rPr>
        </w:r>
        <w:r w:rsidR="0042312C">
          <w:rPr>
            <w:noProof/>
          </w:rPr>
          <w:fldChar w:fldCharType="separate"/>
        </w:r>
        <w:r w:rsidR="0042312C">
          <w:rPr>
            <w:noProof/>
          </w:rPr>
          <w:t>4</w:t>
        </w:r>
        <w:r w:rsidR="0042312C">
          <w:rPr>
            <w:noProof/>
          </w:rPr>
          <w:fldChar w:fldCharType="end"/>
        </w:r>
      </w:hyperlink>
    </w:p>
    <w:p w14:paraId="7A85E16D" w14:textId="12F37C07" w:rsidR="0042312C" w:rsidRDefault="008442D6">
      <w:pPr>
        <w:pStyle w:val="TM2"/>
        <w:tabs>
          <w:tab w:val="left" w:pos="799"/>
        </w:tabs>
        <w:rPr>
          <w:rFonts w:asciiTheme="minorHAnsi" w:eastAsiaTheme="minorEastAsia" w:hAnsiTheme="minorHAnsi" w:cstheme="minorBidi"/>
          <w:noProof/>
          <w:szCs w:val="22"/>
        </w:rPr>
      </w:pPr>
      <w:hyperlink w:anchor="_Toc196406038" w:history="1">
        <w:r w:rsidR="0042312C" w:rsidRPr="005A5079">
          <w:rPr>
            <w:rStyle w:val="Lienhypertexte"/>
            <w:noProof/>
          </w:rPr>
          <w:t>2.2</w:t>
        </w:r>
        <w:r w:rsidR="0042312C">
          <w:rPr>
            <w:rFonts w:asciiTheme="minorHAnsi" w:eastAsiaTheme="minorEastAsia" w:hAnsiTheme="minorHAnsi" w:cstheme="minorBidi"/>
            <w:noProof/>
            <w:szCs w:val="22"/>
          </w:rPr>
          <w:tab/>
        </w:r>
        <w:r w:rsidR="0042312C" w:rsidRPr="005A5079">
          <w:rPr>
            <w:rStyle w:val="Lienhypertexte"/>
            <w:noProof/>
          </w:rPr>
          <w:t>Dispositions relatives aux groupements</w:t>
        </w:r>
        <w:r w:rsidR="0042312C">
          <w:rPr>
            <w:noProof/>
          </w:rPr>
          <w:tab/>
        </w:r>
        <w:r w:rsidR="0042312C">
          <w:rPr>
            <w:noProof/>
          </w:rPr>
          <w:fldChar w:fldCharType="begin"/>
        </w:r>
        <w:r w:rsidR="0042312C">
          <w:rPr>
            <w:noProof/>
          </w:rPr>
          <w:instrText xml:space="preserve"> PAGEREF _Toc196406038 \h </w:instrText>
        </w:r>
        <w:r w:rsidR="0042312C">
          <w:rPr>
            <w:noProof/>
          </w:rPr>
        </w:r>
        <w:r w:rsidR="0042312C">
          <w:rPr>
            <w:noProof/>
          </w:rPr>
          <w:fldChar w:fldCharType="separate"/>
        </w:r>
        <w:r w:rsidR="0042312C">
          <w:rPr>
            <w:noProof/>
          </w:rPr>
          <w:t>5</w:t>
        </w:r>
        <w:r w:rsidR="0042312C">
          <w:rPr>
            <w:noProof/>
          </w:rPr>
          <w:fldChar w:fldCharType="end"/>
        </w:r>
      </w:hyperlink>
    </w:p>
    <w:p w14:paraId="7D26078F" w14:textId="09EE2EA3" w:rsidR="0042312C" w:rsidRDefault="008442D6">
      <w:pPr>
        <w:pStyle w:val="TM2"/>
        <w:tabs>
          <w:tab w:val="left" w:pos="799"/>
        </w:tabs>
        <w:rPr>
          <w:rFonts w:asciiTheme="minorHAnsi" w:eastAsiaTheme="minorEastAsia" w:hAnsiTheme="minorHAnsi" w:cstheme="minorBidi"/>
          <w:noProof/>
          <w:szCs w:val="22"/>
        </w:rPr>
      </w:pPr>
      <w:hyperlink w:anchor="_Toc196406039" w:history="1">
        <w:r w:rsidR="0042312C" w:rsidRPr="005A5079">
          <w:rPr>
            <w:rStyle w:val="Lienhypertexte"/>
            <w:noProof/>
          </w:rPr>
          <w:t>2.3</w:t>
        </w:r>
        <w:r w:rsidR="0042312C">
          <w:rPr>
            <w:rFonts w:asciiTheme="minorHAnsi" w:eastAsiaTheme="minorEastAsia" w:hAnsiTheme="minorHAnsi" w:cstheme="minorBidi"/>
            <w:noProof/>
            <w:szCs w:val="22"/>
          </w:rPr>
          <w:tab/>
        </w:r>
        <w:r w:rsidR="0042312C" w:rsidRPr="005A5079">
          <w:rPr>
            <w:rStyle w:val="Lienhypertexte"/>
            <w:noProof/>
          </w:rPr>
          <w:t>Contenu du dossier de consultation</w:t>
        </w:r>
        <w:r w:rsidR="0042312C">
          <w:rPr>
            <w:noProof/>
          </w:rPr>
          <w:tab/>
        </w:r>
        <w:r w:rsidR="0042312C">
          <w:rPr>
            <w:noProof/>
          </w:rPr>
          <w:fldChar w:fldCharType="begin"/>
        </w:r>
        <w:r w:rsidR="0042312C">
          <w:rPr>
            <w:noProof/>
          </w:rPr>
          <w:instrText xml:space="preserve"> PAGEREF _Toc196406039 \h </w:instrText>
        </w:r>
        <w:r w:rsidR="0042312C">
          <w:rPr>
            <w:noProof/>
          </w:rPr>
        </w:r>
        <w:r w:rsidR="0042312C">
          <w:rPr>
            <w:noProof/>
          </w:rPr>
          <w:fldChar w:fldCharType="separate"/>
        </w:r>
        <w:r w:rsidR="0042312C">
          <w:rPr>
            <w:noProof/>
          </w:rPr>
          <w:t>5</w:t>
        </w:r>
        <w:r w:rsidR="0042312C">
          <w:rPr>
            <w:noProof/>
          </w:rPr>
          <w:fldChar w:fldCharType="end"/>
        </w:r>
      </w:hyperlink>
    </w:p>
    <w:p w14:paraId="36FCE79F" w14:textId="77311E33" w:rsidR="0042312C" w:rsidRDefault="008442D6">
      <w:pPr>
        <w:pStyle w:val="TM2"/>
        <w:tabs>
          <w:tab w:val="left" w:pos="799"/>
        </w:tabs>
        <w:rPr>
          <w:rFonts w:asciiTheme="minorHAnsi" w:eastAsiaTheme="minorEastAsia" w:hAnsiTheme="minorHAnsi" w:cstheme="minorBidi"/>
          <w:noProof/>
          <w:szCs w:val="22"/>
        </w:rPr>
      </w:pPr>
      <w:hyperlink w:anchor="_Toc196406040" w:history="1">
        <w:r w:rsidR="0042312C" w:rsidRPr="005A5079">
          <w:rPr>
            <w:rStyle w:val="Lienhypertexte"/>
            <w:noProof/>
          </w:rPr>
          <w:t>2.4</w:t>
        </w:r>
        <w:r w:rsidR="0042312C">
          <w:rPr>
            <w:rFonts w:asciiTheme="minorHAnsi" w:eastAsiaTheme="minorEastAsia" w:hAnsiTheme="minorHAnsi" w:cstheme="minorBidi"/>
            <w:noProof/>
            <w:szCs w:val="22"/>
          </w:rPr>
          <w:tab/>
        </w:r>
        <w:r w:rsidR="0042312C" w:rsidRPr="005A5079">
          <w:rPr>
            <w:rStyle w:val="Lienhypertexte"/>
            <w:noProof/>
          </w:rPr>
          <w:t>Modification du DCE</w:t>
        </w:r>
        <w:r w:rsidR="0042312C">
          <w:rPr>
            <w:noProof/>
          </w:rPr>
          <w:tab/>
        </w:r>
        <w:r w:rsidR="0042312C">
          <w:rPr>
            <w:noProof/>
          </w:rPr>
          <w:fldChar w:fldCharType="begin"/>
        </w:r>
        <w:r w:rsidR="0042312C">
          <w:rPr>
            <w:noProof/>
          </w:rPr>
          <w:instrText xml:space="preserve"> PAGEREF _Toc196406040 \h </w:instrText>
        </w:r>
        <w:r w:rsidR="0042312C">
          <w:rPr>
            <w:noProof/>
          </w:rPr>
        </w:r>
        <w:r w:rsidR="0042312C">
          <w:rPr>
            <w:noProof/>
          </w:rPr>
          <w:fldChar w:fldCharType="separate"/>
        </w:r>
        <w:r w:rsidR="0042312C">
          <w:rPr>
            <w:noProof/>
          </w:rPr>
          <w:t>5</w:t>
        </w:r>
        <w:r w:rsidR="0042312C">
          <w:rPr>
            <w:noProof/>
          </w:rPr>
          <w:fldChar w:fldCharType="end"/>
        </w:r>
      </w:hyperlink>
    </w:p>
    <w:p w14:paraId="1F4E7D2E" w14:textId="7D38EE34" w:rsidR="0042312C" w:rsidRDefault="008442D6">
      <w:pPr>
        <w:pStyle w:val="TM2"/>
        <w:tabs>
          <w:tab w:val="left" w:pos="799"/>
        </w:tabs>
        <w:rPr>
          <w:rFonts w:asciiTheme="minorHAnsi" w:eastAsiaTheme="minorEastAsia" w:hAnsiTheme="minorHAnsi" w:cstheme="minorBidi"/>
          <w:noProof/>
          <w:szCs w:val="22"/>
        </w:rPr>
      </w:pPr>
      <w:hyperlink w:anchor="_Toc196406041" w:history="1">
        <w:r w:rsidR="0042312C" w:rsidRPr="005A5079">
          <w:rPr>
            <w:rStyle w:val="Lienhypertexte"/>
            <w:noProof/>
          </w:rPr>
          <w:t>2.5</w:t>
        </w:r>
        <w:r w:rsidR="0042312C">
          <w:rPr>
            <w:rFonts w:asciiTheme="minorHAnsi" w:eastAsiaTheme="minorEastAsia" w:hAnsiTheme="minorHAnsi" w:cstheme="minorBidi"/>
            <w:noProof/>
            <w:szCs w:val="22"/>
          </w:rPr>
          <w:tab/>
        </w:r>
        <w:r w:rsidR="0042312C" w:rsidRPr="005A5079">
          <w:rPr>
            <w:rStyle w:val="Lienhypertexte"/>
            <w:noProof/>
          </w:rPr>
          <w:t>Délai de validité des offres</w:t>
        </w:r>
        <w:r w:rsidR="0042312C">
          <w:rPr>
            <w:noProof/>
          </w:rPr>
          <w:tab/>
        </w:r>
        <w:r w:rsidR="0042312C">
          <w:rPr>
            <w:noProof/>
          </w:rPr>
          <w:fldChar w:fldCharType="begin"/>
        </w:r>
        <w:r w:rsidR="0042312C">
          <w:rPr>
            <w:noProof/>
          </w:rPr>
          <w:instrText xml:space="preserve"> PAGEREF _Toc196406041 \h </w:instrText>
        </w:r>
        <w:r w:rsidR="0042312C">
          <w:rPr>
            <w:noProof/>
          </w:rPr>
        </w:r>
        <w:r w:rsidR="0042312C">
          <w:rPr>
            <w:noProof/>
          </w:rPr>
          <w:fldChar w:fldCharType="separate"/>
        </w:r>
        <w:r w:rsidR="0042312C">
          <w:rPr>
            <w:noProof/>
          </w:rPr>
          <w:t>5</w:t>
        </w:r>
        <w:r w:rsidR="0042312C">
          <w:rPr>
            <w:noProof/>
          </w:rPr>
          <w:fldChar w:fldCharType="end"/>
        </w:r>
      </w:hyperlink>
    </w:p>
    <w:p w14:paraId="21250CF4" w14:textId="2426C88E" w:rsidR="0042312C" w:rsidRDefault="008442D6">
      <w:pPr>
        <w:pStyle w:val="TM1"/>
        <w:tabs>
          <w:tab w:val="left" w:pos="601"/>
        </w:tabs>
        <w:rPr>
          <w:rFonts w:asciiTheme="minorHAnsi" w:eastAsiaTheme="minorEastAsia" w:hAnsiTheme="minorHAnsi" w:cstheme="minorBidi"/>
          <w:b w:val="0"/>
          <w:noProof/>
          <w:kern w:val="0"/>
          <w:sz w:val="22"/>
          <w:szCs w:val="22"/>
        </w:rPr>
      </w:pPr>
      <w:hyperlink w:anchor="_Toc196406042" w:history="1">
        <w:r w:rsidR="0042312C" w:rsidRPr="005A5079">
          <w:rPr>
            <w:rStyle w:val="Lienhypertexte"/>
            <w:noProof/>
          </w:rPr>
          <w:t>3.</w:t>
        </w:r>
        <w:r w:rsidR="0042312C">
          <w:rPr>
            <w:rFonts w:asciiTheme="minorHAnsi" w:eastAsiaTheme="minorEastAsia" w:hAnsiTheme="minorHAnsi" w:cstheme="minorBidi"/>
            <w:b w:val="0"/>
            <w:noProof/>
            <w:kern w:val="0"/>
            <w:sz w:val="22"/>
            <w:szCs w:val="22"/>
          </w:rPr>
          <w:tab/>
        </w:r>
        <w:r w:rsidR="0042312C" w:rsidRPr="005A5079">
          <w:rPr>
            <w:rStyle w:val="Lienhypertexte"/>
            <w:noProof/>
          </w:rPr>
          <w:t>Durée de l’accord-cadre – Reconduction – Délais d’exécution</w:t>
        </w:r>
        <w:r w:rsidR="0042312C">
          <w:rPr>
            <w:noProof/>
          </w:rPr>
          <w:tab/>
        </w:r>
        <w:r w:rsidR="0042312C">
          <w:rPr>
            <w:noProof/>
          </w:rPr>
          <w:fldChar w:fldCharType="begin"/>
        </w:r>
        <w:r w:rsidR="0042312C">
          <w:rPr>
            <w:noProof/>
          </w:rPr>
          <w:instrText xml:space="preserve"> PAGEREF _Toc196406042 \h </w:instrText>
        </w:r>
        <w:r w:rsidR="0042312C">
          <w:rPr>
            <w:noProof/>
          </w:rPr>
        </w:r>
        <w:r w:rsidR="0042312C">
          <w:rPr>
            <w:noProof/>
          </w:rPr>
          <w:fldChar w:fldCharType="separate"/>
        </w:r>
        <w:r w:rsidR="0042312C">
          <w:rPr>
            <w:noProof/>
          </w:rPr>
          <w:t>5</w:t>
        </w:r>
        <w:r w:rsidR="0042312C">
          <w:rPr>
            <w:noProof/>
          </w:rPr>
          <w:fldChar w:fldCharType="end"/>
        </w:r>
      </w:hyperlink>
    </w:p>
    <w:p w14:paraId="256EABCF" w14:textId="12717DFE" w:rsidR="0042312C" w:rsidRDefault="008442D6">
      <w:pPr>
        <w:pStyle w:val="TM1"/>
        <w:tabs>
          <w:tab w:val="left" w:pos="601"/>
        </w:tabs>
        <w:rPr>
          <w:rFonts w:asciiTheme="minorHAnsi" w:eastAsiaTheme="minorEastAsia" w:hAnsiTheme="minorHAnsi" w:cstheme="minorBidi"/>
          <w:b w:val="0"/>
          <w:noProof/>
          <w:kern w:val="0"/>
          <w:sz w:val="22"/>
          <w:szCs w:val="22"/>
        </w:rPr>
      </w:pPr>
      <w:hyperlink w:anchor="_Toc196406043" w:history="1">
        <w:r w:rsidR="0042312C" w:rsidRPr="005A5079">
          <w:rPr>
            <w:rStyle w:val="Lienhypertexte"/>
            <w:noProof/>
          </w:rPr>
          <w:t>4.</w:t>
        </w:r>
        <w:r w:rsidR="0042312C">
          <w:rPr>
            <w:rFonts w:asciiTheme="minorHAnsi" w:eastAsiaTheme="minorEastAsia" w:hAnsiTheme="minorHAnsi" w:cstheme="minorBidi"/>
            <w:b w:val="0"/>
            <w:noProof/>
            <w:kern w:val="0"/>
            <w:sz w:val="22"/>
            <w:szCs w:val="22"/>
          </w:rPr>
          <w:tab/>
        </w:r>
        <w:r w:rsidR="0042312C" w:rsidRPr="005A5079">
          <w:rPr>
            <w:rStyle w:val="Lienhypertexte"/>
            <w:noProof/>
          </w:rPr>
          <w:t>Retrait du dossier de consultation</w:t>
        </w:r>
        <w:r w:rsidR="0042312C">
          <w:rPr>
            <w:noProof/>
          </w:rPr>
          <w:tab/>
        </w:r>
        <w:r w:rsidR="0042312C">
          <w:rPr>
            <w:noProof/>
          </w:rPr>
          <w:fldChar w:fldCharType="begin"/>
        </w:r>
        <w:r w:rsidR="0042312C">
          <w:rPr>
            <w:noProof/>
          </w:rPr>
          <w:instrText xml:space="preserve"> PAGEREF _Toc196406043 \h </w:instrText>
        </w:r>
        <w:r w:rsidR="0042312C">
          <w:rPr>
            <w:noProof/>
          </w:rPr>
        </w:r>
        <w:r w:rsidR="0042312C">
          <w:rPr>
            <w:noProof/>
          </w:rPr>
          <w:fldChar w:fldCharType="separate"/>
        </w:r>
        <w:r w:rsidR="0042312C">
          <w:rPr>
            <w:noProof/>
          </w:rPr>
          <w:t>6</w:t>
        </w:r>
        <w:r w:rsidR="0042312C">
          <w:rPr>
            <w:noProof/>
          </w:rPr>
          <w:fldChar w:fldCharType="end"/>
        </w:r>
      </w:hyperlink>
    </w:p>
    <w:p w14:paraId="21C1DC66" w14:textId="48C0C2B1" w:rsidR="0042312C" w:rsidRDefault="008442D6">
      <w:pPr>
        <w:pStyle w:val="TM1"/>
        <w:tabs>
          <w:tab w:val="left" w:pos="601"/>
        </w:tabs>
        <w:rPr>
          <w:rFonts w:asciiTheme="minorHAnsi" w:eastAsiaTheme="minorEastAsia" w:hAnsiTheme="minorHAnsi" w:cstheme="minorBidi"/>
          <w:b w:val="0"/>
          <w:noProof/>
          <w:kern w:val="0"/>
          <w:sz w:val="22"/>
          <w:szCs w:val="22"/>
        </w:rPr>
      </w:pPr>
      <w:hyperlink w:anchor="_Toc196406044" w:history="1">
        <w:r w:rsidR="0042312C" w:rsidRPr="005A5079">
          <w:rPr>
            <w:rStyle w:val="Lienhypertexte"/>
            <w:noProof/>
          </w:rPr>
          <w:t>5.</w:t>
        </w:r>
        <w:r w:rsidR="0042312C">
          <w:rPr>
            <w:rFonts w:asciiTheme="minorHAnsi" w:eastAsiaTheme="minorEastAsia" w:hAnsiTheme="minorHAnsi" w:cstheme="minorBidi"/>
            <w:b w:val="0"/>
            <w:noProof/>
            <w:kern w:val="0"/>
            <w:sz w:val="22"/>
            <w:szCs w:val="22"/>
          </w:rPr>
          <w:tab/>
        </w:r>
        <w:r w:rsidR="0042312C" w:rsidRPr="005A5079">
          <w:rPr>
            <w:rStyle w:val="Lienhypertexte"/>
            <w:noProof/>
          </w:rPr>
          <w:t>Présentation des candidatures et des offres</w:t>
        </w:r>
        <w:r w:rsidR="0042312C">
          <w:rPr>
            <w:noProof/>
          </w:rPr>
          <w:tab/>
        </w:r>
        <w:r w:rsidR="0042312C">
          <w:rPr>
            <w:noProof/>
          </w:rPr>
          <w:fldChar w:fldCharType="begin"/>
        </w:r>
        <w:r w:rsidR="0042312C">
          <w:rPr>
            <w:noProof/>
          </w:rPr>
          <w:instrText xml:space="preserve"> PAGEREF _Toc196406044 \h </w:instrText>
        </w:r>
        <w:r w:rsidR="0042312C">
          <w:rPr>
            <w:noProof/>
          </w:rPr>
        </w:r>
        <w:r w:rsidR="0042312C">
          <w:rPr>
            <w:noProof/>
          </w:rPr>
          <w:fldChar w:fldCharType="separate"/>
        </w:r>
        <w:r w:rsidR="0042312C">
          <w:rPr>
            <w:noProof/>
          </w:rPr>
          <w:t>6</w:t>
        </w:r>
        <w:r w:rsidR="0042312C">
          <w:rPr>
            <w:noProof/>
          </w:rPr>
          <w:fldChar w:fldCharType="end"/>
        </w:r>
      </w:hyperlink>
    </w:p>
    <w:p w14:paraId="2530F160" w14:textId="2CCE782F" w:rsidR="0042312C" w:rsidRDefault="008442D6">
      <w:pPr>
        <w:pStyle w:val="TM2"/>
        <w:tabs>
          <w:tab w:val="left" w:pos="799"/>
        </w:tabs>
        <w:rPr>
          <w:rFonts w:asciiTheme="minorHAnsi" w:eastAsiaTheme="minorEastAsia" w:hAnsiTheme="minorHAnsi" w:cstheme="minorBidi"/>
          <w:noProof/>
          <w:szCs w:val="22"/>
        </w:rPr>
      </w:pPr>
      <w:hyperlink w:anchor="_Toc196406045" w:history="1">
        <w:r w:rsidR="0042312C" w:rsidRPr="005A5079">
          <w:rPr>
            <w:rStyle w:val="Lienhypertexte"/>
            <w:noProof/>
          </w:rPr>
          <w:t>5.1</w:t>
        </w:r>
        <w:r w:rsidR="0042312C">
          <w:rPr>
            <w:rFonts w:asciiTheme="minorHAnsi" w:eastAsiaTheme="minorEastAsia" w:hAnsiTheme="minorHAnsi" w:cstheme="minorBidi"/>
            <w:noProof/>
            <w:szCs w:val="22"/>
          </w:rPr>
          <w:tab/>
        </w:r>
        <w:r w:rsidR="0042312C" w:rsidRPr="005A5079">
          <w:rPr>
            <w:rStyle w:val="Lienhypertexte"/>
            <w:noProof/>
          </w:rPr>
          <w:t>Éléments nécessaires à la sélection des candidatures</w:t>
        </w:r>
        <w:r w:rsidR="0042312C">
          <w:rPr>
            <w:noProof/>
          </w:rPr>
          <w:tab/>
        </w:r>
        <w:r w:rsidR="0042312C">
          <w:rPr>
            <w:noProof/>
          </w:rPr>
          <w:fldChar w:fldCharType="begin"/>
        </w:r>
        <w:r w:rsidR="0042312C">
          <w:rPr>
            <w:noProof/>
          </w:rPr>
          <w:instrText xml:space="preserve"> PAGEREF _Toc196406045 \h </w:instrText>
        </w:r>
        <w:r w:rsidR="0042312C">
          <w:rPr>
            <w:noProof/>
          </w:rPr>
        </w:r>
        <w:r w:rsidR="0042312C">
          <w:rPr>
            <w:noProof/>
          </w:rPr>
          <w:fldChar w:fldCharType="separate"/>
        </w:r>
        <w:r w:rsidR="0042312C">
          <w:rPr>
            <w:noProof/>
          </w:rPr>
          <w:t>6</w:t>
        </w:r>
        <w:r w:rsidR="0042312C">
          <w:rPr>
            <w:noProof/>
          </w:rPr>
          <w:fldChar w:fldCharType="end"/>
        </w:r>
      </w:hyperlink>
    </w:p>
    <w:p w14:paraId="61A8ABD1" w14:textId="5B2C938A" w:rsidR="0042312C" w:rsidRDefault="008442D6">
      <w:pPr>
        <w:pStyle w:val="TM2"/>
        <w:tabs>
          <w:tab w:val="left" w:pos="799"/>
        </w:tabs>
        <w:rPr>
          <w:rFonts w:asciiTheme="minorHAnsi" w:eastAsiaTheme="minorEastAsia" w:hAnsiTheme="minorHAnsi" w:cstheme="minorBidi"/>
          <w:noProof/>
          <w:szCs w:val="22"/>
        </w:rPr>
      </w:pPr>
      <w:hyperlink w:anchor="_Toc196406046" w:history="1">
        <w:r w:rsidR="0042312C" w:rsidRPr="005A5079">
          <w:rPr>
            <w:rStyle w:val="Lienhypertexte"/>
            <w:noProof/>
          </w:rPr>
          <w:t>5.2</w:t>
        </w:r>
        <w:r w:rsidR="0042312C">
          <w:rPr>
            <w:rFonts w:asciiTheme="minorHAnsi" w:eastAsiaTheme="minorEastAsia" w:hAnsiTheme="minorHAnsi" w:cstheme="minorBidi"/>
            <w:noProof/>
            <w:szCs w:val="22"/>
          </w:rPr>
          <w:tab/>
        </w:r>
        <w:r w:rsidR="0042312C" w:rsidRPr="005A5079">
          <w:rPr>
            <w:rStyle w:val="Lienhypertexte"/>
            <w:noProof/>
          </w:rPr>
          <w:t>Éléments nécessaires au choix de l’offre</w:t>
        </w:r>
        <w:r w:rsidR="0042312C">
          <w:rPr>
            <w:noProof/>
          </w:rPr>
          <w:tab/>
        </w:r>
        <w:r w:rsidR="0042312C">
          <w:rPr>
            <w:noProof/>
          </w:rPr>
          <w:fldChar w:fldCharType="begin"/>
        </w:r>
        <w:r w:rsidR="0042312C">
          <w:rPr>
            <w:noProof/>
          </w:rPr>
          <w:instrText xml:space="preserve"> PAGEREF _Toc196406046 \h </w:instrText>
        </w:r>
        <w:r w:rsidR="0042312C">
          <w:rPr>
            <w:noProof/>
          </w:rPr>
        </w:r>
        <w:r w:rsidR="0042312C">
          <w:rPr>
            <w:noProof/>
          </w:rPr>
          <w:fldChar w:fldCharType="separate"/>
        </w:r>
        <w:r w:rsidR="0042312C">
          <w:rPr>
            <w:noProof/>
          </w:rPr>
          <w:t>7</w:t>
        </w:r>
        <w:r w:rsidR="0042312C">
          <w:rPr>
            <w:noProof/>
          </w:rPr>
          <w:fldChar w:fldCharType="end"/>
        </w:r>
      </w:hyperlink>
    </w:p>
    <w:p w14:paraId="1ED456C1" w14:textId="3CC8E180" w:rsidR="0042312C" w:rsidRDefault="008442D6">
      <w:pPr>
        <w:pStyle w:val="TM1"/>
        <w:tabs>
          <w:tab w:val="left" w:pos="601"/>
        </w:tabs>
        <w:rPr>
          <w:rFonts w:asciiTheme="minorHAnsi" w:eastAsiaTheme="minorEastAsia" w:hAnsiTheme="minorHAnsi" w:cstheme="minorBidi"/>
          <w:b w:val="0"/>
          <w:noProof/>
          <w:kern w:val="0"/>
          <w:sz w:val="22"/>
          <w:szCs w:val="22"/>
        </w:rPr>
      </w:pPr>
      <w:hyperlink w:anchor="_Toc196406047" w:history="1">
        <w:r w:rsidR="0042312C" w:rsidRPr="005A5079">
          <w:rPr>
            <w:rStyle w:val="Lienhypertexte"/>
            <w:noProof/>
          </w:rPr>
          <w:t>6.</w:t>
        </w:r>
        <w:r w:rsidR="0042312C">
          <w:rPr>
            <w:rFonts w:asciiTheme="minorHAnsi" w:eastAsiaTheme="minorEastAsia" w:hAnsiTheme="minorHAnsi" w:cstheme="minorBidi"/>
            <w:b w:val="0"/>
            <w:noProof/>
            <w:kern w:val="0"/>
            <w:sz w:val="22"/>
            <w:szCs w:val="22"/>
          </w:rPr>
          <w:tab/>
        </w:r>
        <w:r w:rsidR="0042312C" w:rsidRPr="005A5079">
          <w:rPr>
            <w:rStyle w:val="Lienhypertexte"/>
            <w:noProof/>
          </w:rPr>
          <w:t>Jugement des candidatures, des offres et attribution de l’accord-cadre</w:t>
        </w:r>
        <w:r w:rsidR="0042312C">
          <w:rPr>
            <w:noProof/>
          </w:rPr>
          <w:tab/>
        </w:r>
        <w:r w:rsidR="0042312C">
          <w:rPr>
            <w:noProof/>
          </w:rPr>
          <w:fldChar w:fldCharType="begin"/>
        </w:r>
        <w:r w:rsidR="0042312C">
          <w:rPr>
            <w:noProof/>
          </w:rPr>
          <w:instrText xml:space="preserve"> PAGEREF _Toc196406047 \h </w:instrText>
        </w:r>
        <w:r w:rsidR="0042312C">
          <w:rPr>
            <w:noProof/>
          </w:rPr>
        </w:r>
        <w:r w:rsidR="0042312C">
          <w:rPr>
            <w:noProof/>
          </w:rPr>
          <w:fldChar w:fldCharType="separate"/>
        </w:r>
        <w:r w:rsidR="0042312C">
          <w:rPr>
            <w:noProof/>
          </w:rPr>
          <w:t>8</w:t>
        </w:r>
        <w:r w:rsidR="0042312C">
          <w:rPr>
            <w:noProof/>
          </w:rPr>
          <w:fldChar w:fldCharType="end"/>
        </w:r>
      </w:hyperlink>
    </w:p>
    <w:p w14:paraId="5310FE2F" w14:textId="4294733D" w:rsidR="0042312C" w:rsidRDefault="008442D6">
      <w:pPr>
        <w:pStyle w:val="TM2"/>
        <w:tabs>
          <w:tab w:val="left" w:pos="799"/>
        </w:tabs>
        <w:rPr>
          <w:rFonts w:asciiTheme="minorHAnsi" w:eastAsiaTheme="minorEastAsia" w:hAnsiTheme="minorHAnsi" w:cstheme="minorBidi"/>
          <w:noProof/>
          <w:szCs w:val="22"/>
        </w:rPr>
      </w:pPr>
      <w:hyperlink w:anchor="_Toc196406048" w:history="1">
        <w:r w:rsidR="0042312C" w:rsidRPr="005A5079">
          <w:rPr>
            <w:rStyle w:val="Lienhypertexte"/>
            <w:noProof/>
          </w:rPr>
          <w:t>6.1</w:t>
        </w:r>
        <w:r w:rsidR="0042312C">
          <w:rPr>
            <w:rFonts w:asciiTheme="minorHAnsi" w:eastAsiaTheme="minorEastAsia" w:hAnsiTheme="minorHAnsi" w:cstheme="minorBidi"/>
            <w:noProof/>
            <w:szCs w:val="22"/>
          </w:rPr>
          <w:tab/>
        </w:r>
        <w:r w:rsidR="0042312C" w:rsidRPr="005A5079">
          <w:rPr>
            <w:rStyle w:val="Lienhypertexte"/>
            <w:noProof/>
          </w:rPr>
          <w:t>Jugement des candidatures</w:t>
        </w:r>
        <w:r w:rsidR="0042312C">
          <w:rPr>
            <w:noProof/>
          </w:rPr>
          <w:tab/>
        </w:r>
        <w:r w:rsidR="0042312C">
          <w:rPr>
            <w:noProof/>
          </w:rPr>
          <w:fldChar w:fldCharType="begin"/>
        </w:r>
        <w:r w:rsidR="0042312C">
          <w:rPr>
            <w:noProof/>
          </w:rPr>
          <w:instrText xml:space="preserve"> PAGEREF _Toc196406048 \h </w:instrText>
        </w:r>
        <w:r w:rsidR="0042312C">
          <w:rPr>
            <w:noProof/>
          </w:rPr>
        </w:r>
        <w:r w:rsidR="0042312C">
          <w:rPr>
            <w:noProof/>
          </w:rPr>
          <w:fldChar w:fldCharType="separate"/>
        </w:r>
        <w:r w:rsidR="0042312C">
          <w:rPr>
            <w:noProof/>
          </w:rPr>
          <w:t>8</w:t>
        </w:r>
        <w:r w:rsidR="0042312C">
          <w:rPr>
            <w:noProof/>
          </w:rPr>
          <w:fldChar w:fldCharType="end"/>
        </w:r>
      </w:hyperlink>
    </w:p>
    <w:p w14:paraId="4DF42345" w14:textId="6A34C1FC" w:rsidR="0042312C" w:rsidRDefault="008442D6">
      <w:pPr>
        <w:pStyle w:val="TM2"/>
        <w:tabs>
          <w:tab w:val="left" w:pos="799"/>
        </w:tabs>
        <w:rPr>
          <w:rFonts w:asciiTheme="minorHAnsi" w:eastAsiaTheme="minorEastAsia" w:hAnsiTheme="minorHAnsi" w:cstheme="minorBidi"/>
          <w:noProof/>
          <w:szCs w:val="22"/>
        </w:rPr>
      </w:pPr>
      <w:hyperlink w:anchor="_Toc196406049" w:history="1">
        <w:r w:rsidR="0042312C" w:rsidRPr="005A5079">
          <w:rPr>
            <w:rStyle w:val="Lienhypertexte"/>
            <w:noProof/>
          </w:rPr>
          <w:t>6.2</w:t>
        </w:r>
        <w:r w:rsidR="0042312C">
          <w:rPr>
            <w:rFonts w:asciiTheme="minorHAnsi" w:eastAsiaTheme="minorEastAsia" w:hAnsiTheme="minorHAnsi" w:cstheme="minorBidi"/>
            <w:noProof/>
            <w:szCs w:val="22"/>
          </w:rPr>
          <w:tab/>
        </w:r>
        <w:r w:rsidR="0042312C" w:rsidRPr="005A5079">
          <w:rPr>
            <w:rStyle w:val="Lienhypertexte"/>
            <w:noProof/>
          </w:rPr>
          <w:t>Jugement des offres</w:t>
        </w:r>
        <w:r w:rsidR="0042312C">
          <w:rPr>
            <w:noProof/>
          </w:rPr>
          <w:tab/>
        </w:r>
        <w:r w:rsidR="0042312C">
          <w:rPr>
            <w:noProof/>
          </w:rPr>
          <w:fldChar w:fldCharType="begin"/>
        </w:r>
        <w:r w:rsidR="0042312C">
          <w:rPr>
            <w:noProof/>
          </w:rPr>
          <w:instrText xml:space="preserve"> PAGEREF _Toc196406049 \h </w:instrText>
        </w:r>
        <w:r w:rsidR="0042312C">
          <w:rPr>
            <w:noProof/>
          </w:rPr>
        </w:r>
        <w:r w:rsidR="0042312C">
          <w:rPr>
            <w:noProof/>
          </w:rPr>
          <w:fldChar w:fldCharType="separate"/>
        </w:r>
        <w:r w:rsidR="0042312C">
          <w:rPr>
            <w:noProof/>
          </w:rPr>
          <w:t>9</w:t>
        </w:r>
        <w:r w:rsidR="0042312C">
          <w:rPr>
            <w:noProof/>
          </w:rPr>
          <w:fldChar w:fldCharType="end"/>
        </w:r>
      </w:hyperlink>
    </w:p>
    <w:p w14:paraId="29F9F1DF" w14:textId="27812EDC" w:rsidR="0042312C" w:rsidRDefault="008442D6">
      <w:pPr>
        <w:pStyle w:val="TM2"/>
        <w:tabs>
          <w:tab w:val="left" w:pos="799"/>
        </w:tabs>
        <w:rPr>
          <w:rFonts w:asciiTheme="minorHAnsi" w:eastAsiaTheme="minorEastAsia" w:hAnsiTheme="minorHAnsi" w:cstheme="minorBidi"/>
          <w:noProof/>
          <w:szCs w:val="22"/>
        </w:rPr>
      </w:pPr>
      <w:hyperlink w:anchor="_Toc196406050" w:history="1">
        <w:r w:rsidR="0042312C" w:rsidRPr="005A5079">
          <w:rPr>
            <w:rStyle w:val="Lienhypertexte"/>
            <w:noProof/>
          </w:rPr>
          <w:t>6.3</w:t>
        </w:r>
        <w:r w:rsidR="0042312C">
          <w:rPr>
            <w:rFonts w:asciiTheme="minorHAnsi" w:eastAsiaTheme="minorEastAsia" w:hAnsiTheme="minorHAnsi" w:cstheme="minorBidi"/>
            <w:noProof/>
            <w:szCs w:val="22"/>
          </w:rPr>
          <w:tab/>
        </w:r>
        <w:r w:rsidR="0042312C" w:rsidRPr="005A5079">
          <w:rPr>
            <w:rStyle w:val="Lienhypertexte"/>
            <w:noProof/>
          </w:rPr>
          <w:t>Attribution de l’accord-cadre</w:t>
        </w:r>
        <w:r w:rsidR="0042312C">
          <w:rPr>
            <w:noProof/>
          </w:rPr>
          <w:tab/>
        </w:r>
        <w:r w:rsidR="0042312C">
          <w:rPr>
            <w:noProof/>
          </w:rPr>
          <w:fldChar w:fldCharType="begin"/>
        </w:r>
        <w:r w:rsidR="0042312C">
          <w:rPr>
            <w:noProof/>
          </w:rPr>
          <w:instrText xml:space="preserve"> PAGEREF _Toc196406050 \h </w:instrText>
        </w:r>
        <w:r w:rsidR="0042312C">
          <w:rPr>
            <w:noProof/>
          </w:rPr>
        </w:r>
        <w:r w:rsidR="0042312C">
          <w:rPr>
            <w:noProof/>
          </w:rPr>
          <w:fldChar w:fldCharType="separate"/>
        </w:r>
        <w:r w:rsidR="0042312C">
          <w:rPr>
            <w:noProof/>
          </w:rPr>
          <w:t>9</w:t>
        </w:r>
        <w:r w:rsidR="0042312C">
          <w:rPr>
            <w:noProof/>
          </w:rPr>
          <w:fldChar w:fldCharType="end"/>
        </w:r>
      </w:hyperlink>
    </w:p>
    <w:p w14:paraId="74C0CFC0" w14:textId="343AB91A" w:rsidR="0042312C" w:rsidRDefault="008442D6">
      <w:pPr>
        <w:pStyle w:val="TM1"/>
        <w:tabs>
          <w:tab w:val="left" w:pos="601"/>
        </w:tabs>
        <w:rPr>
          <w:rFonts w:asciiTheme="minorHAnsi" w:eastAsiaTheme="minorEastAsia" w:hAnsiTheme="minorHAnsi" w:cstheme="minorBidi"/>
          <w:b w:val="0"/>
          <w:noProof/>
          <w:kern w:val="0"/>
          <w:sz w:val="22"/>
          <w:szCs w:val="22"/>
        </w:rPr>
      </w:pPr>
      <w:hyperlink w:anchor="_Toc196406051" w:history="1">
        <w:r w:rsidR="0042312C" w:rsidRPr="005A5079">
          <w:rPr>
            <w:rStyle w:val="Lienhypertexte"/>
            <w:noProof/>
          </w:rPr>
          <w:t>7.</w:t>
        </w:r>
        <w:r w:rsidR="0042312C">
          <w:rPr>
            <w:rFonts w:asciiTheme="minorHAnsi" w:eastAsiaTheme="minorEastAsia" w:hAnsiTheme="minorHAnsi" w:cstheme="minorBidi"/>
            <w:b w:val="0"/>
            <w:noProof/>
            <w:kern w:val="0"/>
            <w:sz w:val="22"/>
            <w:szCs w:val="22"/>
          </w:rPr>
          <w:tab/>
        </w:r>
        <w:r w:rsidR="0042312C" w:rsidRPr="005A5079">
          <w:rPr>
            <w:rStyle w:val="Lienhypertexte"/>
            <w:noProof/>
          </w:rPr>
          <w:t>Conditions d’envoi et de remise des candidatures et des offres</w:t>
        </w:r>
        <w:r w:rsidR="0042312C">
          <w:rPr>
            <w:noProof/>
          </w:rPr>
          <w:tab/>
        </w:r>
        <w:r w:rsidR="0042312C">
          <w:rPr>
            <w:noProof/>
          </w:rPr>
          <w:fldChar w:fldCharType="begin"/>
        </w:r>
        <w:r w:rsidR="0042312C">
          <w:rPr>
            <w:noProof/>
          </w:rPr>
          <w:instrText xml:space="preserve"> PAGEREF _Toc196406051 \h </w:instrText>
        </w:r>
        <w:r w:rsidR="0042312C">
          <w:rPr>
            <w:noProof/>
          </w:rPr>
        </w:r>
        <w:r w:rsidR="0042312C">
          <w:rPr>
            <w:noProof/>
          </w:rPr>
          <w:fldChar w:fldCharType="separate"/>
        </w:r>
        <w:r w:rsidR="0042312C">
          <w:rPr>
            <w:noProof/>
          </w:rPr>
          <w:t>10</w:t>
        </w:r>
        <w:r w:rsidR="0042312C">
          <w:rPr>
            <w:noProof/>
          </w:rPr>
          <w:fldChar w:fldCharType="end"/>
        </w:r>
      </w:hyperlink>
    </w:p>
    <w:p w14:paraId="23EEED7E" w14:textId="4B33B29E" w:rsidR="0042312C" w:rsidRDefault="008442D6">
      <w:pPr>
        <w:pStyle w:val="TM1"/>
        <w:tabs>
          <w:tab w:val="left" w:pos="601"/>
        </w:tabs>
        <w:rPr>
          <w:rFonts w:asciiTheme="minorHAnsi" w:eastAsiaTheme="minorEastAsia" w:hAnsiTheme="minorHAnsi" w:cstheme="minorBidi"/>
          <w:b w:val="0"/>
          <w:noProof/>
          <w:kern w:val="0"/>
          <w:sz w:val="22"/>
          <w:szCs w:val="22"/>
        </w:rPr>
      </w:pPr>
      <w:hyperlink w:anchor="_Toc196406052" w:history="1">
        <w:r w:rsidR="0042312C" w:rsidRPr="005A5079">
          <w:rPr>
            <w:rStyle w:val="Lienhypertexte"/>
            <w:noProof/>
          </w:rPr>
          <w:t>8.</w:t>
        </w:r>
        <w:r w:rsidR="0042312C">
          <w:rPr>
            <w:rFonts w:asciiTheme="minorHAnsi" w:eastAsiaTheme="minorEastAsia" w:hAnsiTheme="minorHAnsi" w:cstheme="minorBidi"/>
            <w:b w:val="0"/>
            <w:noProof/>
            <w:kern w:val="0"/>
            <w:sz w:val="22"/>
            <w:szCs w:val="22"/>
          </w:rPr>
          <w:tab/>
        </w:r>
        <w:r w:rsidR="0042312C" w:rsidRPr="005A5079">
          <w:rPr>
            <w:rStyle w:val="Lienhypertexte"/>
            <w:noProof/>
          </w:rPr>
          <w:t>Renseignements complémentaires</w:t>
        </w:r>
        <w:r w:rsidR="0042312C">
          <w:rPr>
            <w:noProof/>
          </w:rPr>
          <w:tab/>
        </w:r>
        <w:r w:rsidR="0042312C">
          <w:rPr>
            <w:noProof/>
          </w:rPr>
          <w:fldChar w:fldCharType="begin"/>
        </w:r>
        <w:r w:rsidR="0042312C">
          <w:rPr>
            <w:noProof/>
          </w:rPr>
          <w:instrText xml:space="preserve"> PAGEREF _Toc196406052 \h </w:instrText>
        </w:r>
        <w:r w:rsidR="0042312C">
          <w:rPr>
            <w:noProof/>
          </w:rPr>
        </w:r>
        <w:r w:rsidR="0042312C">
          <w:rPr>
            <w:noProof/>
          </w:rPr>
          <w:fldChar w:fldCharType="separate"/>
        </w:r>
        <w:r w:rsidR="0042312C">
          <w:rPr>
            <w:noProof/>
          </w:rPr>
          <w:t>12</w:t>
        </w:r>
        <w:r w:rsidR="0042312C">
          <w:rPr>
            <w:noProof/>
          </w:rPr>
          <w:fldChar w:fldCharType="end"/>
        </w:r>
      </w:hyperlink>
    </w:p>
    <w:p w14:paraId="2019AE40" w14:textId="157FAFD7" w:rsidR="0042312C" w:rsidRDefault="008442D6">
      <w:pPr>
        <w:pStyle w:val="TM1"/>
        <w:tabs>
          <w:tab w:val="left" w:pos="601"/>
        </w:tabs>
        <w:rPr>
          <w:rFonts w:asciiTheme="minorHAnsi" w:eastAsiaTheme="minorEastAsia" w:hAnsiTheme="minorHAnsi" w:cstheme="minorBidi"/>
          <w:b w:val="0"/>
          <w:noProof/>
          <w:kern w:val="0"/>
          <w:sz w:val="22"/>
          <w:szCs w:val="22"/>
        </w:rPr>
      </w:pPr>
      <w:hyperlink w:anchor="_Toc196406053" w:history="1">
        <w:r w:rsidR="0042312C" w:rsidRPr="005A5079">
          <w:rPr>
            <w:rStyle w:val="Lienhypertexte"/>
            <w:noProof/>
          </w:rPr>
          <w:t>9.</w:t>
        </w:r>
        <w:r w:rsidR="0042312C">
          <w:rPr>
            <w:rFonts w:asciiTheme="minorHAnsi" w:eastAsiaTheme="minorEastAsia" w:hAnsiTheme="minorHAnsi" w:cstheme="minorBidi"/>
            <w:b w:val="0"/>
            <w:noProof/>
            <w:kern w:val="0"/>
            <w:sz w:val="22"/>
            <w:szCs w:val="22"/>
          </w:rPr>
          <w:tab/>
        </w:r>
        <w:r w:rsidR="0042312C" w:rsidRPr="005A5079">
          <w:rPr>
            <w:rStyle w:val="Lienhypertexte"/>
            <w:noProof/>
          </w:rPr>
          <w:t>Procédures de recours</w:t>
        </w:r>
        <w:r w:rsidR="0042312C">
          <w:rPr>
            <w:noProof/>
          </w:rPr>
          <w:tab/>
        </w:r>
        <w:r w:rsidR="0042312C">
          <w:rPr>
            <w:noProof/>
          </w:rPr>
          <w:fldChar w:fldCharType="begin"/>
        </w:r>
        <w:r w:rsidR="0042312C">
          <w:rPr>
            <w:noProof/>
          </w:rPr>
          <w:instrText xml:space="preserve"> PAGEREF _Toc196406053 \h </w:instrText>
        </w:r>
        <w:r w:rsidR="0042312C">
          <w:rPr>
            <w:noProof/>
          </w:rPr>
        </w:r>
        <w:r w:rsidR="0042312C">
          <w:rPr>
            <w:noProof/>
          </w:rPr>
          <w:fldChar w:fldCharType="separate"/>
        </w:r>
        <w:r w:rsidR="0042312C">
          <w:rPr>
            <w:noProof/>
          </w:rPr>
          <w:t>12</w:t>
        </w:r>
        <w:r w:rsidR="0042312C">
          <w:rPr>
            <w:noProof/>
          </w:rPr>
          <w:fldChar w:fldCharType="end"/>
        </w:r>
      </w:hyperlink>
    </w:p>
    <w:p w14:paraId="143E9EED" w14:textId="3E069E52" w:rsidR="0042312C" w:rsidRDefault="008442D6">
      <w:pPr>
        <w:pStyle w:val="TM1"/>
        <w:tabs>
          <w:tab w:val="left" w:pos="601"/>
        </w:tabs>
        <w:rPr>
          <w:rFonts w:asciiTheme="minorHAnsi" w:eastAsiaTheme="minorEastAsia" w:hAnsiTheme="minorHAnsi" w:cstheme="minorBidi"/>
          <w:b w:val="0"/>
          <w:noProof/>
          <w:kern w:val="0"/>
          <w:sz w:val="22"/>
          <w:szCs w:val="22"/>
        </w:rPr>
      </w:pPr>
      <w:hyperlink w:anchor="_Toc196406054" w:history="1">
        <w:r w:rsidR="0042312C" w:rsidRPr="005A5079">
          <w:rPr>
            <w:rStyle w:val="Lienhypertexte"/>
            <w:noProof/>
          </w:rPr>
          <w:t>10.</w:t>
        </w:r>
        <w:r w:rsidR="0042312C">
          <w:rPr>
            <w:rFonts w:asciiTheme="minorHAnsi" w:eastAsiaTheme="minorEastAsia" w:hAnsiTheme="minorHAnsi" w:cstheme="minorBidi"/>
            <w:b w:val="0"/>
            <w:noProof/>
            <w:kern w:val="0"/>
            <w:sz w:val="22"/>
            <w:szCs w:val="22"/>
          </w:rPr>
          <w:tab/>
        </w:r>
        <w:r w:rsidR="0042312C" w:rsidRPr="005A5079">
          <w:rPr>
            <w:rStyle w:val="Lienhypertexte"/>
            <w:noProof/>
          </w:rPr>
          <w:t>Annexe : Cadre de réponse imposé</w:t>
        </w:r>
        <w:r w:rsidR="0042312C">
          <w:rPr>
            <w:noProof/>
          </w:rPr>
          <w:tab/>
        </w:r>
        <w:r w:rsidR="0042312C">
          <w:rPr>
            <w:noProof/>
          </w:rPr>
          <w:fldChar w:fldCharType="begin"/>
        </w:r>
        <w:r w:rsidR="0042312C">
          <w:rPr>
            <w:noProof/>
          </w:rPr>
          <w:instrText xml:space="preserve"> PAGEREF _Toc196406054 \h </w:instrText>
        </w:r>
        <w:r w:rsidR="0042312C">
          <w:rPr>
            <w:noProof/>
          </w:rPr>
        </w:r>
        <w:r w:rsidR="0042312C">
          <w:rPr>
            <w:noProof/>
          </w:rPr>
          <w:fldChar w:fldCharType="separate"/>
        </w:r>
        <w:r w:rsidR="0042312C">
          <w:rPr>
            <w:noProof/>
          </w:rPr>
          <w:t>14</w:t>
        </w:r>
        <w:r w:rsidR="0042312C">
          <w:rPr>
            <w:noProof/>
          </w:rPr>
          <w:fldChar w:fldCharType="end"/>
        </w:r>
      </w:hyperlink>
    </w:p>
    <w:p w14:paraId="41639D20" w14:textId="2A9DB634" w:rsidR="0042312C" w:rsidRDefault="008442D6">
      <w:pPr>
        <w:pStyle w:val="TM1"/>
        <w:tabs>
          <w:tab w:val="left" w:pos="601"/>
        </w:tabs>
        <w:rPr>
          <w:rFonts w:asciiTheme="minorHAnsi" w:eastAsiaTheme="minorEastAsia" w:hAnsiTheme="minorHAnsi" w:cstheme="minorBidi"/>
          <w:b w:val="0"/>
          <w:noProof/>
          <w:kern w:val="0"/>
          <w:sz w:val="22"/>
          <w:szCs w:val="22"/>
        </w:rPr>
      </w:pPr>
      <w:hyperlink w:anchor="_Toc196406055" w:history="1">
        <w:r w:rsidR="0042312C" w:rsidRPr="005A5079">
          <w:rPr>
            <w:rStyle w:val="Lienhypertexte"/>
            <w:noProof/>
          </w:rPr>
          <w:t>11.</w:t>
        </w:r>
        <w:r w:rsidR="0042312C">
          <w:rPr>
            <w:rFonts w:asciiTheme="minorHAnsi" w:eastAsiaTheme="minorEastAsia" w:hAnsiTheme="minorHAnsi" w:cstheme="minorBidi"/>
            <w:b w:val="0"/>
            <w:noProof/>
            <w:kern w:val="0"/>
            <w:sz w:val="22"/>
            <w:szCs w:val="22"/>
          </w:rPr>
          <w:tab/>
        </w:r>
        <w:r w:rsidR="0042312C" w:rsidRPr="005A5079">
          <w:rPr>
            <w:rStyle w:val="Lienhypertexte"/>
            <w:noProof/>
          </w:rPr>
          <w:t>Actions RSE</w:t>
        </w:r>
        <w:r w:rsidR="0042312C">
          <w:rPr>
            <w:noProof/>
          </w:rPr>
          <w:tab/>
        </w:r>
        <w:r w:rsidR="0042312C">
          <w:rPr>
            <w:noProof/>
          </w:rPr>
          <w:fldChar w:fldCharType="begin"/>
        </w:r>
        <w:r w:rsidR="0042312C">
          <w:rPr>
            <w:noProof/>
          </w:rPr>
          <w:instrText xml:space="preserve"> PAGEREF _Toc196406055 \h </w:instrText>
        </w:r>
        <w:r w:rsidR="0042312C">
          <w:rPr>
            <w:noProof/>
          </w:rPr>
        </w:r>
        <w:r w:rsidR="0042312C">
          <w:rPr>
            <w:noProof/>
          </w:rPr>
          <w:fldChar w:fldCharType="separate"/>
        </w:r>
        <w:r w:rsidR="0042312C">
          <w:rPr>
            <w:noProof/>
          </w:rPr>
          <w:t>15</w:t>
        </w:r>
        <w:r w:rsidR="0042312C">
          <w:rPr>
            <w:noProof/>
          </w:rPr>
          <w:fldChar w:fldCharType="end"/>
        </w:r>
      </w:hyperlink>
    </w:p>
    <w:p w14:paraId="258FA2DA" w14:textId="008EBB1E" w:rsidR="0042312C" w:rsidRDefault="008442D6">
      <w:pPr>
        <w:pStyle w:val="TM2"/>
        <w:rPr>
          <w:rFonts w:asciiTheme="minorHAnsi" w:eastAsiaTheme="minorEastAsia" w:hAnsiTheme="minorHAnsi" w:cstheme="minorBidi"/>
          <w:noProof/>
          <w:szCs w:val="22"/>
        </w:rPr>
      </w:pPr>
      <w:hyperlink w:anchor="_Toc196406056" w:history="1">
        <w:r w:rsidR="0042312C" w:rsidRPr="005A5079">
          <w:rPr>
            <w:rStyle w:val="Lienhypertexte"/>
            <w:noProof/>
          </w:rPr>
          <w:t>Spécification technique environnementale : exigences pour le climat</w:t>
        </w:r>
        <w:r w:rsidR="0042312C">
          <w:rPr>
            <w:noProof/>
          </w:rPr>
          <w:tab/>
        </w:r>
        <w:r w:rsidR="0042312C">
          <w:rPr>
            <w:noProof/>
          </w:rPr>
          <w:fldChar w:fldCharType="begin"/>
        </w:r>
        <w:r w:rsidR="0042312C">
          <w:rPr>
            <w:noProof/>
          </w:rPr>
          <w:instrText xml:space="preserve"> PAGEREF _Toc196406056 \h </w:instrText>
        </w:r>
        <w:r w:rsidR="0042312C">
          <w:rPr>
            <w:noProof/>
          </w:rPr>
        </w:r>
        <w:r w:rsidR="0042312C">
          <w:rPr>
            <w:noProof/>
          </w:rPr>
          <w:fldChar w:fldCharType="separate"/>
        </w:r>
        <w:r w:rsidR="0042312C">
          <w:rPr>
            <w:noProof/>
          </w:rPr>
          <w:t>15</w:t>
        </w:r>
        <w:r w:rsidR="0042312C">
          <w:rPr>
            <w:noProof/>
          </w:rPr>
          <w:fldChar w:fldCharType="end"/>
        </w:r>
      </w:hyperlink>
    </w:p>
    <w:p w14:paraId="126750F3" w14:textId="605EC16D" w:rsidR="0042312C" w:rsidRDefault="008442D6">
      <w:pPr>
        <w:pStyle w:val="TM2"/>
        <w:rPr>
          <w:rFonts w:asciiTheme="minorHAnsi" w:eastAsiaTheme="minorEastAsia" w:hAnsiTheme="minorHAnsi" w:cstheme="minorBidi"/>
          <w:noProof/>
          <w:szCs w:val="22"/>
        </w:rPr>
      </w:pPr>
      <w:hyperlink w:anchor="_Toc196406057" w:history="1">
        <w:r w:rsidR="0042312C" w:rsidRPr="005A5079">
          <w:rPr>
            <w:rStyle w:val="Lienhypertexte"/>
            <w:noProof/>
          </w:rPr>
          <w:t>Conditions d’exécution sociales</w:t>
        </w:r>
        <w:r w:rsidR="0042312C">
          <w:rPr>
            <w:noProof/>
          </w:rPr>
          <w:tab/>
        </w:r>
        <w:r w:rsidR="0042312C">
          <w:rPr>
            <w:noProof/>
          </w:rPr>
          <w:fldChar w:fldCharType="begin"/>
        </w:r>
        <w:r w:rsidR="0042312C">
          <w:rPr>
            <w:noProof/>
          </w:rPr>
          <w:instrText xml:space="preserve"> PAGEREF _Toc196406057 \h </w:instrText>
        </w:r>
        <w:r w:rsidR="0042312C">
          <w:rPr>
            <w:noProof/>
          </w:rPr>
        </w:r>
        <w:r w:rsidR="0042312C">
          <w:rPr>
            <w:noProof/>
          </w:rPr>
          <w:fldChar w:fldCharType="separate"/>
        </w:r>
        <w:r w:rsidR="0042312C">
          <w:rPr>
            <w:noProof/>
          </w:rPr>
          <w:t>15</w:t>
        </w:r>
        <w:r w:rsidR="0042312C">
          <w:rPr>
            <w:noProof/>
          </w:rPr>
          <w:fldChar w:fldCharType="end"/>
        </w:r>
      </w:hyperlink>
    </w:p>
    <w:p w14:paraId="20994642" w14:textId="3FB6F301" w:rsidR="0042312C" w:rsidRDefault="008442D6">
      <w:pPr>
        <w:pStyle w:val="TM1"/>
        <w:tabs>
          <w:tab w:val="left" w:pos="601"/>
        </w:tabs>
        <w:rPr>
          <w:rFonts w:asciiTheme="minorHAnsi" w:eastAsiaTheme="minorEastAsia" w:hAnsiTheme="minorHAnsi" w:cstheme="minorBidi"/>
          <w:b w:val="0"/>
          <w:noProof/>
          <w:kern w:val="0"/>
          <w:sz w:val="22"/>
          <w:szCs w:val="22"/>
        </w:rPr>
      </w:pPr>
      <w:hyperlink w:anchor="_Toc196406058" w:history="1">
        <w:r w:rsidR="0042312C" w:rsidRPr="005A5079">
          <w:rPr>
            <w:rStyle w:val="Lienhypertexte"/>
            <w:noProof/>
          </w:rPr>
          <w:t>12.</w:t>
        </w:r>
        <w:r w:rsidR="0042312C">
          <w:rPr>
            <w:rFonts w:asciiTheme="minorHAnsi" w:eastAsiaTheme="minorEastAsia" w:hAnsiTheme="minorHAnsi" w:cstheme="minorBidi"/>
            <w:b w:val="0"/>
            <w:noProof/>
            <w:kern w:val="0"/>
            <w:sz w:val="22"/>
            <w:szCs w:val="22"/>
          </w:rPr>
          <w:tab/>
        </w:r>
        <w:r w:rsidR="0042312C" w:rsidRPr="005A5079">
          <w:rPr>
            <w:rStyle w:val="Lienhypertexte"/>
            <w:noProof/>
          </w:rPr>
          <w:t>Annexe : Exigences relatives au certificat de signature</w:t>
        </w:r>
        <w:r w:rsidR="0042312C">
          <w:rPr>
            <w:noProof/>
          </w:rPr>
          <w:tab/>
        </w:r>
        <w:r w:rsidR="0042312C">
          <w:rPr>
            <w:noProof/>
          </w:rPr>
          <w:fldChar w:fldCharType="begin"/>
        </w:r>
        <w:r w:rsidR="0042312C">
          <w:rPr>
            <w:noProof/>
          </w:rPr>
          <w:instrText xml:space="preserve"> PAGEREF _Toc196406058 \h </w:instrText>
        </w:r>
        <w:r w:rsidR="0042312C">
          <w:rPr>
            <w:noProof/>
          </w:rPr>
        </w:r>
        <w:r w:rsidR="0042312C">
          <w:rPr>
            <w:noProof/>
          </w:rPr>
          <w:fldChar w:fldCharType="separate"/>
        </w:r>
        <w:r w:rsidR="0042312C">
          <w:rPr>
            <w:noProof/>
          </w:rPr>
          <w:t>18</w:t>
        </w:r>
        <w:r w:rsidR="0042312C">
          <w:rPr>
            <w:noProof/>
          </w:rPr>
          <w:fldChar w:fldCharType="end"/>
        </w:r>
      </w:hyperlink>
    </w:p>
    <w:p w14:paraId="7BBF7C32" w14:textId="075F266D" w:rsidR="00AF6118" w:rsidRDefault="00793A01">
      <w:pPr>
        <w:pStyle w:val="RedaliaNormal"/>
        <w:rPr>
          <w:b/>
          <w:kern w:val="3"/>
          <w:sz w:val="24"/>
        </w:rPr>
      </w:pPr>
      <w:r>
        <w:rPr>
          <w:b/>
          <w:kern w:val="3"/>
          <w:sz w:val="24"/>
        </w:rPr>
        <w:fldChar w:fldCharType="end"/>
      </w:r>
    </w:p>
    <w:p w14:paraId="292C6915" w14:textId="77777777" w:rsidR="00AF6118" w:rsidRDefault="00AF6118">
      <w:pPr>
        <w:widowControl/>
        <w:suppressAutoHyphens w:val="0"/>
        <w:rPr>
          <w:b/>
          <w:kern w:val="3"/>
          <w:sz w:val="24"/>
        </w:rPr>
      </w:pPr>
      <w:r>
        <w:rPr>
          <w:b/>
          <w:kern w:val="3"/>
          <w:sz w:val="24"/>
        </w:rPr>
        <w:br w:type="page"/>
      </w:r>
    </w:p>
    <w:p w14:paraId="3BBFC3D8" w14:textId="77777777" w:rsidR="00E82CE3" w:rsidRDefault="00E82CE3">
      <w:pPr>
        <w:pStyle w:val="RedaliaNormal"/>
      </w:pPr>
    </w:p>
    <w:p w14:paraId="313A0429" w14:textId="77777777" w:rsidR="00E82CE3" w:rsidRDefault="00793A01">
      <w:pPr>
        <w:pStyle w:val="RedaliaTitre1"/>
      </w:pPr>
      <w:bookmarkStart w:id="9" w:name="_Toc526153317"/>
      <w:bookmarkStart w:id="10" w:name="_Toc79070487"/>
      <w:bookmarkStart w:id="11" w:name="_Toc196406031"/>
      <w:r>
        <w:t xml:space="preserve">Objet de </w:t>
      </w:r>
      <w:bookmarkEnd w:id="9"/>
      <w:r>
        <w:t>l’accord-cadre – Caractéristiques principales</w:t>
      </w:r>
      <w:bookmarkEnd w:id="10"/>
      <w:bookmarkEnd w:id="11"/>
    </w:p>
    <w:p w14:paraId="19BE6A6B" w14:textId="77777777" w:rsidR="00E82CE3" w:rsidRDefault="00793A01">
      <w:pPr>
        <w:pStyle w:val="RedaliaTitre2"/>
      </w:pPr>
      <w:bookmarkStart w:id="12" w:name="_Toc79070488"/>
      <w:bookmarkStart w:id="13" w:name="_Toc196406032"/>
      <w:r>
        <w:t>Objet de l’accord-cadre</w:t>
      </w:r>
      <w:bookmarkEnd w:id="12"/>
      <w:bookmarkEnd w:id="13"/>
    </w:p>
    <w:p w14:paraId="39055653" w14:textId="77777777" w:rsidR="00E82CE3" w:rsidRDefault="00793A01">
      <w:pPr>
        <w:pStyle w:val="RedaliaNormal"/>
      </w:pPr>
      <w:r>
        <w:t>La consultation a pour objet : Le présent accord-cadre a pour objet la sélection de prestataires auxquels seront confiées des missions de conseil à la survenance du besoin, relatif à des prestations de conseil détaillées ci-après pour la période 2025-2029.</w:t>
      </w:r>
    </w:p>
    <w:p w14:paraId="1CCD849F" w14:textId="77777777" w:rsidR="00E82CE3" w:rsidRDefault="00793A01">
      <w:pPr>
        <w:pStyle w:val="NormalWeb"/>
        <w:spacing w:before="0" w:after="0"/>
        <w:jc w:val="both"/>
      </w:pPr>
      <w:r>
        <w:t>Les objectifs du Groupe AFD avec cet appel d’offres sont multiples :</w:t>
      </w:r>
    </w:p>
    <w:p w14:paraId="136592C5" w14:textId="77777777" w:rsidR="00E82CE3" w:rsidRDefault="00793A01">
      <w:pPr>
        <w:pStyle w:val="NormalWeb"/>
        <w:widowControl/>
        <w:numPr>
          <w:ilvl w:val="0"/>
          <w:numId w:val="29"/>
        </w:numPr>
        <w:suppressAutoHyphens w:val="0"/>
        <w:spacing w:before="0" w:after="0"/>
        <w:jc w:val="both"/>
        <w:textAlignment w:val="auto"/>
      </w:pPr>
      <w:r>
        <w:t>Etablir un référencement de plusieurs cabinets de conseil sur les sites du Groupe AFD ;</w:t>
      </w:r>
    </w:p>
    <w:p w14:paraId="3ABC3C39" w14:textId="77777777" w:rsidR="00E82CE3" w:rsidRDefault="00793A01">
      <w:pPr>
        <w:pStyle w:val="NormalWeb"/>
        <w:widowControl/>
        <w:numPr>
          <w:ilvl w:val="0"/>
          <w:numId w:val="29"/>
        </w:numPr>
        <w:suppressAutoHyphens w:val="0"/>
        <w:spacing w:before="0" w:after="0"/>
        <w:jc w:val="both"/>
        <w:textAlignment w:val="auto"/>
      </w:pPr>
      <w:r>
        <w:t>Bénéficier des meilleures compétences à des coûts optimisés ;</w:t>
      </w:r>
    </w:p>
    <w:p w14:paraId="625F3A6F" w14:textId="77777777" w:rsidR="00E82CE3" w:rsidRDefault="00793A01">
      <w:pPr>
        <w:pStyle w:val="NormalWeb"/>
        <w:widowControl/>
        <w:numPr>
          <w:ilvl w:val="0"/>
          <w:numId w:val="29"/>
        </w:numPr>
        <w:suppressAutoHyphens w:val="0"/>
        <w:spacing w:before="0" w:after="0"/>
        <w:jc w:val="both"/>
        <w:textAlignment w:val="auto"/>
      </w:pPr>
      <w:r>
        <w:t>Sécuriser opérationnellement et juridiquement les prestations ;</w:t>
      </w:r>
    </w:p>
    <w:p w14:paraId="7A51AB75" w14:textId="322D3E88" w:rsidR="00E82CE3" w:rsidRDefault="00793A01" w:rsidP="00050437">
      <w:pPr>
        <w:pStyle w:val="NormalWeb"/>
        <w:numPr>
          <w:ilvl w:val="0"/>
          <w:numId w:val="29"/>
        </w:numPr>
        <w:spacing w:before="0" w:after="0"/>
        <w:jc w:val="both"/>
      </w:pPr>
      <w:r>
        <w:t>Bénéficier de flexibilité avec les cabinets afin de répondre aux spécificités de son activité.</w:t>
      </w:r>
    </w:p>
    <w:p w14:paraId="2A2BA05D" w14:textId="77777777" w:rsidR="00E82CE3" w:rsidRDefault="00793A01">
      <w:pPr>
        <w:pStyle w:val="RedaliaNormal"/>
        <w:rPr>
          <w:rFonts w:cs="Calibri"/>
        </w:rPr>
      </w:pPr>
      <w:r>
        <w:rPr>
          <w:rFonts w:cs="Calibri"/>
        </w:rPr>
        <w:t>Le détail des prestations est présenté dans le CCTP.</w:t>
      </w:r>
    </w:p>
    <w:p w14:paraId="66B3E92C" w14:textId="77777777" w:rsidR="00E82CE3" w:rsidRDefault="00E82CE3">
      <w:pPr>
        <w:pStyle w:val="RedaliaNormal"/>
        <w:rPr>
          <w:rFonts w:cs="Calibri"/>
        </w:rPr>
      </w:pPr>
    </w:p>
    <w:p w14:paraId="1F053193" w14:textId="77777777" w:rsidR="00E82CE3" w:rsidRDefault="00793A01">
      <w:pPr>
        <w:pStyle w:val="RedaliaTitre2"/>
      </w:pPr>
      <w:bookmarkStart w:id="14" w:name="_Toc79070489"/>
      <w:bookmarkStart w:id="15" w:name="_Toc196406033"/>
      <w:r>
        <w:t>Lieu d’exécution</w:t>
      </w:r>
      <w:bookmarkEnd w:id="14"/>
      <w:bookmarkEnd w:id="15"/>
    </w:p>
    <w:p w14:paraId="254BA028" w14:textId="77777777" w:rsidR="00E82CE3" w:rsidRDefault="00793A01">
      <w:pPr>
        <w:pStyle w:val="RedaliaNormal"/>
      </w:pPr>
      <w:r>
        <w:t>Lieu d’exécution : Paris.</w:t>
      </w:r>
    </w:p>
    <w:p w14:paraId="614BEA82" w14:textId="77777777" w:rsidR="00E82CE3" w:rsidRDefault="00E82CE3">
      <w:pPr>
        <w:pStyle w:val="RedaliaNormal"/>
      </w:pPr>
    </w:p>
    <w:p w14:paraId="38705E1C" w14:textId="77777777" w:rsidR="00E82CE3" w:rsidRDefault="00793A01">
      <w:pPr>
        <w:pStyle w:val="RedaliaTitre2"/>
      </w:pPr>
      <w:bookmarkStart w:id="16" w:name="__RefHeading___Toc14452_1881649383"/>
      <w:bookmarkStart w:id="17" w:name="_Toc168382977"/>
      <w:bookmarkStart w:id="18" w:name="_Toc168399410"/>
      <w:bookmarkStart w:id="19" w:name="_Toc169013452"/>
      <w:bookmarkStart w:id="20" w:name="_Toc169014566"/>
      <w:bookmarkStart w:id="21" w:name="_Toc196406034"/>
      <w:r>
        <w:t>Forme de l’accord-cadre</w:t>
      </w:r>
      <w:bookmarkEnd w:id="16"/>
      <w:bookmarkEnd w:id="17"/>
      <w:bookmarkEnd w:id="18"/>
      <w:bookmarkEnd w:id="19"/>
      <w:bookmarkEnd w:id="20"/>
      <w:bookmarkEnd w:id="21"/>
    </w:p>
    <w:p w14:paraId="49D72CB1" w14:textId="77777777" w:rsidR="00E82CE3" w:rsidRDefault="00793A01">
      <w:pPr>
        <w:pStyle w:val="RedaliaNormal"/>
      </w:pPr>
      <w:r>
        <w:t>Les prestations feront l’objet d’un accord-cadre en application des articles R. 2162-1 à 2162-6 du Code de la commande publique.</w:t>
      </w:r>
    </w:p>
    <w:p w14:paraId="5EDA57F1" w14:textId="77777777" w:rsidR="00E82CE3" w:rsidRDefault="00E82CE3">
      <w:pPr>
        <w:pStyle w:val="RedaliaNormal"/>
      </w:pPr>
    </w:p>
    <w:p w14:paraId="796CA9FD" w14:textId="09BD8D9D" w:rsidR="00E82CE3" w:rsidRDefault="005D58AF">
      <w:pPr>
        <w:pStyle w:val="RedaliaNormal"/>
      </w:pPr>
      <w:r>
        <w:t>L</w:t>
      </w:r>
      <w:r w:rsidR="00793A01">
        <w:t>’accord-cadre sera exécuté en partie par la conclusion de marchés subséquents et en partie par l’émission de bons de commande.</w:t>
      </w:r>
    </w:p>
    <w:p w14:paraId="6EFFC74B" w14:textId="77777777" w:rsidR="00E82CE3" w:rsidRDefault="00E82CE3">
      <w:pPr>
        <w:pStyle w:val="RedaliaNormal"/>
      </w:pPr>
    </w:p>
    <w:p w14:paraId="658D7976" w14:textId="5313B2E4" w:rsidR="00E82CE3" w:rsidRDefault="00793A01">
      <w:pPr>
        <w:pStyle w:val="RedaliaNormal"/>
      </w:pPr>
      <w:r>
        <w:t xml:space="preserve">Le montant maximal est fixé </w:t>
      </w:r>
      <w:r w:rsidR="005D58AF">
        <w:t xml:space="preserve">dans </w:t>
      </w:r>
      <w:r w:rsidR="00AF6118">
        <w:t xml:space="preserve">les </w:t>
      </w:r>
      <w:r>
        <w:t>contrat</w:t>
      </w:r>
      <w:r w:rsidR="00AF6118">
        <w:t>s</w:t>
      </w:r>
      <w:r>
        <w:t xml:space="preserve"> unique</w:t>
      </w:r>
      <w:r w:rsidR="00AF6118">
        <w:t>s de chaque lot</w:t>
      </w:r>
      <w:r>
        <w:t>.</w:t>
      </w:r>
    </w:p>
    <w:p w14:paraId="7F798F63" w14:textId="77777777" w:rsidR="00E82CE3" w:rsidRDefault="00E82CE3">
      <w:pPr>
        <w:pStyle w:val="RedaliaNormal"/>
      </w:pPr>
    </w:p>
    <w:p w14:paraId="757EBBE7" w14:textId="77777777" w:rsidR="00E82CE3" w:rsidRDefault="00793A01">
      <w:pPr>
        <w:pStyle w:val="RedaliaNormal"/>
      </w:pPr>
      <w:r>
        <w:t>Le présent accord cadre est divisé en 2 lots :</w:t>
      </w:r>
    </w:p>
    <w:p w14:paraId="19FB7F56" w14:textId="77777777" w:rsidR="00E82CE3" w:rsidRDefault="00E82CE3">
      <w:pPr>
        <w:pStyle w:val="RedaliaNormal"/>
      </w:pPr>
    </w:p>
    <w:tbl>
      <w:tblPr>
        <w:tblW w:w="8500" w:type="dxa"/>
        <w:jc w:val="center"/>
        <w:tblCellMar>
          <w:left w:w="10" w:type="dxa"/>
          <w:right w:w="10" w:type="dxa"/>
        </w:tblCellMar>
        <w:tblLook w:val="0000" w:firstRow="0" w:lastRow="0" w:firstColumn="0" w:lastColumn="0" w:noHBand="0" w:noVBand="0"/>
      </w:tblPr>
      <w:tblGrid>
        <w:gridCol w:w="1555"/>
        <w:gridCol w:w="6945"/>
      </w:tblGrid>
      <w:tr w:rsidR="00E82CE3" w14:paraId="3250F9CA" w14:textId="77777777" w:rsidTr="00BF281E">
        <w:trPr>
          <w:tblHeader/>
          <w:jc w:val="center"/>
        </w:trPr>
        <w:tc>
          <w:tcPr>
            <w:tcW w:w="1555" w:type="dxa"/>
            <w:tcBorders>
              <w:top w:val="dotted" w:sz="4" w:space="0" w:color="000000"/>
              <w:left w:val="dotted" w:sz="4" w:space="0" w:color="000000"/>
              <w:bottom w:val="dotted" w:sz="4" w:space="0" w:color="000000"/>
              <w:right w:val="dotted" w:sz="4" w:space="0" w:color="000000"/>
            </w:tcBorders>
            <w:shd w:val="clear" w:color="auto" w:fill="FFFFFF"/>
            <w:tcMar>
              <w:top w:w="0" w:type="dxa"/>
              <w:left w:w="70" w:type="dxa"/>
              <w:bottom w:w="0" w:type="dxa"/>
              <w:right w:w="70" w:type="dxa"/>
            </w:tcMar>
          </w:tcPr>
          <w:p w14:paraId="6050C7CE" w14:textId="77777777" w:rsidR="00E82CE3" w:rsidRPr="00BF281E" w:rsidRDefault="00793A01">
            <w:pPr>
              <w:pStyle w:val="Normal2"/>
              <w:rPr>
                <w:rFonts w:ascii="ITC Avant Garde Std Bk" w:eastAsia="ITC Avant Garde Std Bk" w:hAnsi="ITC Avant Garde Std Bk" w:cs="ITC Avant Garde Std Bk"/>
              </w:rPr>
            </w:pPr>
            <w:r w:rsidRPr="00BF281E">
              <w:rPr>
                <w:rFonts w:ascii="ITC Avant Garde Std Bk" w:eastAsia="ITC Avant Garde Std Bk" w:hAnsi="ITC Avant Garde Std Bk" w:cs="ITC Avant Garde Std Bk"/>
              </w:rPr>
              <w:t>Lot</w:t>
            </w:r>
          </w:p>
        </w:tc>
        <w:tc>
          <w:tcPr>
            <w:tcW w:w="6945" w:type="dxa"/>
            <w:tcBorders>
              <w:top w:val="dotted" w:sz="4" w:space="0" w:color="000000"/>
              <w:left w:val="dotted" w:sz="4" w:space="0" w:color="000000"/>
              <w:bottom w:val="dotted" w:sz="4" w:space="0" w:color="000000"/>
              <w:right w:val="dotted" w:sz="4" w:space="0" w:color="000000"/>
            </w:tcBorders>
            <w:shd w:val="clear" w:color="auto" w:fill="FFFFFF"/>
            <w:tcMar>
              <w:top w:w="0" w:type="dxa"/>
              <w:left w:w="70" w:type="dxa"/>
              <w:bottom w:w="0" w:type="dxa"/>
              <w:right w:w="70" w:type="dxa"/>
            </w:tcMar>
          </w:tcPr>
          <w:p w14:paraId="160E0135" w14:textId="77777777" w:rsidR="00E82CE3" w:rsidRPr="00BF281E" w:rsidRDefault="00793A01">
            <w:pPr>
              <w:pStyle w:val="Normal2"/>
              <w:rPr>
                <w:rFonts w:ascii="ITC Avant Garde Std Bk" w:eastAsia="ITC Avant Garde Std Bk" w:hAnsi="ITC Avant Garde Std Bk" w:cs="ITC Avant Garde Std Bk"/>
              </w:rPr>
            </w:pPr>
            <w:r w:rsidRPr="00BF281E">
              <w:rPr>
                <w:rFonts w:ascii="ITC Avant Garde Std Bk" w:eastAsia="ITC Avant Garde Std Bk" w:hAnsi="ITC Avant Garde Std Bk" w:cs="ITC Avant Garde Std Bk"/>
              </w:rPr>
              <w:t>Désignation</w:t>
            </w:r>
          </w:p>
        </w:tc>
      </w:tr>
      <w:tr w:rsidR="00E82CE3" w14:paraId="6EA426C2" w14:textId="77777777" w:rsidTr="00BF281E">
        <w:trPr>
          <w:jc w:val="center"/>
        </w:trPr>
        <w:tc>
          <w:tcPr>
            <w:tcW w:w="1555" w:type="dxa"/>
            <w:tcBorders>
              <w:top w:val="dotted" w:sz="4" w:space="0" w:color="000000"/>
              <w:left w:val="dotted" w:sz="4" w:space="0" w:color="000000"/>
              <w:bottom w:val="dotted" w:sz="4" w:space="0" w:color="000000"/>
              <w:right w:val="dotted" w:sz="4" w:space="0" w:color="000000"/>
            </w:tcBorders>
            <w:shd w:val="clear" w:color="auto" w:fill="auto"/>
            <w:tcMar>
              <w:top w:w="0" w:type="dxa"/>
              <w:left w:w="70" w:type="dxa"/>
              <w:bottom w:w="0" w:type="dxa"/>
              <w:right w:w="70" w:type="dxa"/>
            </w:tcMar>
            <w:vAlign w:val="center"/>
          </w:tcPr>
          <w:p w14:paraId="678B8250" w14:textId="33208DBE" w:rsidR="00E82CE3" w:rsidRPr="00BF281E" w:rsidRDefault="00BF281E">
            <w:pPr>
              <w:pStyle w:val="Normal2"/>
              <w:rPr>
                <w:rFonts w:ascii="ITC Avant Garde Std Bk" w:eastAsia="ITC Avant Garde Std Bk" w:hAnsi="ITC Avant Garde Std Bk" w:cs="ITC Avant Garde Std Bk"/>
              </w:rPr>
            </w:pPr>
            <w:r>
              <w:rPr>
                <w:rFonts w:ascii="ITC Avant Garde Std Bk" w:eastAsia="ITC Avant Garde Std Bk" w:hAnsi="ITC Avant Garde Std Bk" w:cs="ITC Avant Garde Std Bk"/>
              </w:rPr>
              <w:t xml:space="preserve">Lot </w:t>
            </w:r>
            <w:r w:rsidR="00793A01" w:rsidRPr="00BF281E">
              <w:rPr>
                <w:rFonts w:ascii="ITC Avant Garde Std Bk" w:eastAsia="ITC Avant Garde Std Bk" w:hAnsi="ITC Avant Garde Std Bk" w:cs="ITC Avant Garde Std Bk"/>
              </w:rPr>
              <w:t>1</w:t>
            </w:r>
          </w:p>
        </w:tc>
        <w:tc>
          <w:tcPr>
            <w:tcW w:w="6945" w:type="dxa"/>
            <w:tcBorders>
              <w:top w:val="dotted" w:sz="4" w:space="0" w:color="000000"/>
              <w:left w:val="dotted" w:sz="4" w:space="0" w:color="000000"/>
              <w:bottom w:val="dotted" w:sz="4" w:space="0" w:color="000000"/>
              <w:right w:val="dotted" w:sz="4" w:space="0" w:color="000000"/>
            </w:tcBorders>
            <w:shd w:val="clear" w:color="auto" w:fill="auto"/>
            <w:tcMar>
              <w:top w:w="0" w:type="dxa"/>
              <w:left w:w="70" w:type="dxa"/>
              <w:bottom w:w="0" w:type="dxa"/>
              <w:right w:w="70" w:type="dxa"/>
            </w:tcMar>
            <w:vAlign w:val="center"/>
          </w:tcPr>
          <w:p w14:paraId="6E131F49" w14:textId="77777777" w:rsidR="00E82CE3" w:rsidRPr="00BF281E" w:rsidRDefault="00793A01">
            <w:pPr>
              <w:pStyle w:val="Normal2"/>
              <w:rPr>
                <w:rFonts w:ascii="ITC Avant Garde Std Bk" w:eastAsia="ITC Avant Garde Std Bk" w:hAnsi="ITC Avant Garde Std Bk" w:cs="ITC Avant Garde Std Bk"/>
              </w:rPr>
            </w:pPr>
            <w:r w:rsidRPr="00BF281E">
              <w:rPr>
                <w:rFonts w:ascii="ITC Avant Garde Std Bk" w:eastAsia="ITC Avant Garde Std Bk" w:hAnsi="ITC Avant Garde Std Bk" w:cs="ITC Avant Garde Std Bk"/>
              </w:rPr>
              <w:t>Evolution des processus</w:t>
            </w:r>
          </w:p>
        </w:tc>
      </w:tr>
      <w:tr w:rsidR="00E82CE3" w14:paraId="374346CA" w14:textId="77777777" w:rsidTr="00BF281E">
        <w:trPr>
          <w:jc w:val="center"/>
        </w:trPr>
        <w:tc>
          <w:tcPr>
            <w:tcW w:w="1555" w:type="dxa"/>
            <w:tcBorders>
              <w:top w:val="dotted" w:sz="4" w:space="0" w:color="000000"/>
              <w:left w:val="dotted" w:sz="4" w:space="0" w:color="000000"/>
              <w:bottom w:val="dotted" w:sz="4" w:space="0" w:color="000000"/>
              <w:right w:val="dotted" w:sz="4" w:space="0" w:color="000000"/>
            </w:tcBorders>
            <w:shd w:val="clear" w:color="auto" w:fill="auto"/>
            <w:tcMar>
              <w:top w:w="0" w:type="dxa"/>
              <w:left w:w="70" w:type="dxa"/>
              <w:bottom w:w="0" w:type="dxa"/>
              <w:right w:w="70" w:type="dxa"/>
            </w:tcMar>
            <w:vAlign w:val="center"/>
          </w:tcPr>
          <w:p w14:paraId="2A6FC867" w14:textId="495D9C07" w:rsidR="00E82CE3" w:rsidRPr="00BF281E" w:rsidRDefault="00BF281E">
            <w:pPr>
              <w:pStyle w:val="Normal2"/>
              <w:rPr>
                <w:rFonts w:ascii="ITC Avant Garde Std Bk" w:eastAsia="ITC Avant Garde Std Bk" w:hAnsi="ITC Avant Garde Std Bk" w:cs="ITC Avant Garde Std Bk"/>
              </w:rPr>
            </w:pPr>
            <w:r>
              <w:rPr>
                <w:rFonts w:ascii="ITC Avant Garde Std Bk" w:eastAsia="ITC Avant Garde Std Bk" w:hAnsi="ITC Avant Garde Std Bk" w:cs="ITC Avant Garde Std Bk"/>
              </w:rPr>
              <w:t xml:space="preserve">Lot </w:t>
            </w:r>
            <w:r w:rsidR="00793A01" w:rsidRPr="00BF281E">
              <w:rPr>
                <w:rFonts w:ascii="ITC Avant Garde Std Bk" w:eastAsia="ITC Avant Garde Std Bk" w:hAnsi="ITC Avant Garde Std Bk" w:cs="ITC Avant Garde Std Bk"/>
              </w:rPr>
              <w:t>2</w:t>
            </w:r>
          </w:p>
        </w:tc>
        <w:tc>
          <w:tcPr>
            <w:tcW w:w="6945" w:type="dxa"/>
            <w:tcBorders>
              <w:top w:val="dotted" w:sz="4" w:space="0" w:color="000000"/>
              <w:left w:val="dotted" w:sz="4" w:space="0" w:color="000000"/>
              <w:bottom w:val="dotted" w:sz="4" w:space="0" w:color="000000"/>
              <w:right w:val="dotted" w:sz="4" w:space="0" w:color="000000"/>
            </w:tcBorders>
            <w:shd w:val="clear" w:color="auto" w:fill="auto"/>
            <w:tcMar>
              <w:top w:w="0" w:type="dxa"/>
              <w:left w:w="70" w:type="dxa"/>
              <w:bottom w:w="0" w:type="dxa"/>
              <w:right w:w="70" w:type="dxa"/>
            </w:tcMar>
            <w:vAlign w:val="center"/>
          </w:tcPr>
          <w:p w14:paraId="1D67EEDD" w14:textId="77777777" w:rsidR="00E82CE3" w:rsidRPr="00BF281E" w:rsidRDefault="00793A01">
            <w:pPr>
              <w:pStyle w:val="Normal2"/>
              <w:rPr>
                <w:rFonts w:ascii="ITC Avant Garde Std Bk" w:eastAsia="ITC Avant Garde Std Bk" w:hAnsi="ITC Avant Garde Std Bk" w:cs="ITC Avant Garde Std Bk"/>
              </w:rPr>
            </w:pPr>
            <w:r w:rsidRPr="00BF281E">
              <w:rPr>
                <w:rFonts w:ascii="ITC Avant Garde Std Bk" w:eastAsia="ITC Avant Garde Std Bk" w:hAnsi="ITC Avant Garde Std Bk" w:cs="ITC Avant Garde Std Bk"/>
              </w:rPr>
              <w:t>Evolution de l’organisation interne et transformation culturelle</w:t>
            </w:r>
          </w:p>
        </w:tc>
      </w:tr>
    </w:tbl>
    <w:p w14:paraId="2AFF7732" w14:textId="77777777" w:rsidR="00E82CE3" w:rsidRDefault="00E82CE3">
      <w:pPr>
        <w:pStyle w:val="RedaliaNormal"/>
      </w:pPr>
    </w:p>
    <w:p w14:paraId="258C7B67" w14:textId="7DF2745C" w:rsidR="00E82CE3" w:rsidRDefault="00793A01">
      <w:pPr>
        <w:pStyle w:val="RedaliaNormal"/>
      </w:pPr>
      <w:r>
        <w:t xml:space="preserve">L’accord-cadre sera conclu avec </w:t>
      </w:r>
      <w:r w:rsidR="00F90336" w:rsidRPr="009D10BF">
        <w:rPr>
          <w:b/>
        </w:rPr>
        <w:t>5</w:t>
      </w:r>
      <w:r>
        <w:t xml:space="preserve"> opérateurs économiques</w:t>
      </w:r>
      <w:r w:rsidR="00050437">
        <w:t xml:space="preserve"> par lot</w:t>
      </w:r>
      <w:r>
        <w:t>, sous réserve d’un nombre suffisants d’offres conformes.</w:t>
      </w:r>
    </w:p>
    <w:p w14:paraId="1966E7C7" w14:textId="77777777" w:rsidR="00E82CE3" w:rsidRDefault="00E82CE3">
      <w:pPr>
        <w:pStyle w:val="RedaliaNormal"/>
      </w:pPr>
    </w:p>
    <w:p w14:paraId="1BD66A1A" w14:textId="77777777" w:rsidR="00E82CE3" w:rsidRDefault="00793A01">
      <w:pPr>
        <w:pStyle w:val="RedaliaTitre2"/>
      </w:pPr>
      <w:bookmarkStart w:id="22" w:name="_Toc196406035"/>
      <w:r>
        <w:t>Marchés de prestations similaires</w:t>
      </w:r>
      <w:bookmarkEnd w:id="22"/>
    </w:p>
    <w:p w14:paraId="0BB132C0" w14:textId="77777777" w:rsidR="00E82CE3" w:rsidRDefault="00793A01">
      <w:pPr>
        <w:pStyle w:val="RedaliaNormal"/>
        <w:spacing w:before="0"/>
      </w:pPr>
      <w:r>
        <w:t>Les prestations, objet de la présente consultation, pourront donner lieu à un nouveau marché pour la réalisation de prestations similaires, passé en application de la procédure négociée sans publicité préalable et sans mise en concurrence et qui seront exécutées par l’attributaire de ce présent marché.</w:t>
      </w:r>
    </w:p>
    <w:p w14:paraId="27F4B848" w14:textId="77777777" w:rsidR="00E82CE3" w:rsidRDefault="00793A01">
      <w:pPr>
        <w:pStyle w:val="RedaliaTitre1"/>
      </w:pPr>
      <w:bookmarkStart w:id="23" w:name="_Toc79070492"/>
      <w:bookmarkStart w:id="24" w:name="_Toc196406036"/>
      <w:r>
        <w:t>Conditions de la consultation</w:t>
      </w:r>
      <w:bookmarkEnd w:id="5"/>
      <w:bookmarkEnd w:id="23"/>
      <w:bookmarkEnd w:id="24"/>
    </w:p>
    <w:p w14:paraId="724E7566" w14:textId="321B4B88" w:rsidR="00E82CE3" w:rsidRDefault="00793A01">
      <w:pPr>
        <w:pStyle w:val="RedaliaNormal"/>
      </w:pPr>
      <w:r>
        <w:t xml:space="preserve">L'accord-cadre est passé selon la procédure avec négociation car les besoins qui seront formulés à </w:t>
      </w:r>
      <w:r>
        <w:lastRenderedPageBreak/>
        <w:t>chaque sollicitation via marchés subséquents ne peuvent être satisfaits sans adapter des solutions immédiatement disponibles en application de l’article R. 2124-3 1° du code de la commande publique.</w:t>
      </w:r>
    </w:p>
    <w:p w14:paraId="46FAC2B0" w14:textId="77777777" w:rsidR="00E82CE3" w:rsidRDefault="00E82CE3">
      <w:pPr>
        <w:pStyle w:val="RedaliaNormal"/>
      </w:pPr>
    </w:p>
    <w:p w14:paraId="1D0BC4DD" w14:textId="77777777" w:rsidR="00E82CE3" w:rsidRDefault="00793A01">
      <w:pPr>
        <w:widowControl/>
        <w:suppressAutoHyphens w:val="0"/>
        <w:autoSpaceDE w:val="0"/>
        <w:jc w:val="both"/>
        <w:textAlignment w:val="auto"/>
      </w:pPr>
      <w:r>
        <w:t xml:space="preserve">La procédure avec négociation est la procédure par laquelle un acheteur négocie les conditions du marché public avec un ou plusieurs opérateurs économiques autorisés à participer aux négociations. </w:t>
      </w:r>
    </w:p>
    <w:p w14:paraId="678C0D7A" w14:textId="77777777" w:rsidR="00E82CE3" w:rsidRDefault="00E82CE3">
      <w:pPr>
        <w:widowControl/>
        <w:suppressAutoHyphens w:val="0"/>
        <w:autoSpaceDE w:val="0"/>
        <w:jc w:val="both"/>
        <w:textAlignment w:val="auto"/>
      </w:pPr>
    </w:p>
    <w:p w14:paraId="0C8D35E9" w14:textId="24DBDB19" w:rsidR="00E82CE3" w:rsidRDefault="00FD31E6">
      <w:pPr>
        <w:widowControl/>
        <w:suppressAutoHyphens w:val="0"/>
        <w:autoSpaceDE w:val="0"/>
        <w:jc w:val="both"/>
        <w:textAlignment w:val="auto"/>
      </w:pPr>
      <w:r>
        <w:t>Pour chacun des lots, l</w:t>
      </w:r>
      <w:r w:rsidR="00793A01">
        <w:t>a procédure se déroule en phases dans les conditions fixées par le présent règlement</w:t>
      </w:r>
      <w:r>
        <w:t xml:space="preserve"> </w:t>
      </w:r>
      <w:r w:rsidR="00793A01">
        <w:t xml:space="preserve">: </w:t>
      </w:r>
    </w:p>
    <w:p w14:paraId="2059E245" w14:textId="77777777" w:rsidR="00E82CE3" w:rsidRDefault="00E82CE3">
      <w:pPr>
        <w:widowControl/>
        <w:suppressAutoHyphens w:val="0"/>
        <w:autoSpaceDE w:val="0"/>
        <w:jc w:val="both"/>
        <w:textAlignment w:val="auto"/>
      </w:pPr>
    </w:p>
    <w:p w14:paraId="348FDE46" w14:textId="2C76E8D6" w:rsidR="005C2492" w:rsidRPr="005C2492" w:rsidRDefault="005C2492" w:rsidP="005C2492">
      <w:pPr>
        <w:pStyle w:val="Paragraphedeliste"/>
        <w:numPr>
          <w:ilvl w:val="0"/>
          <w:numId w:val="44"/>
        </w:numPr>
        <w:autoSpaceDE w:val="0"/>
        <w:spacing w:before="100" w:after="100"/>
        <w:jc w:val="both"/>
      </w:pPr>
      <w:r w:rsidRPr="005C2492">
        <w:t>La phase 1 – Appel à candidature : Il s’agit de sélectionner les candidats admis à remettre une offre (sur la base de leur dossier de candidature)</w:t>
      </w:r>
    </w:p>
    <w:p w14:paraId="0E4EE273" w14:textId="555E4A55" w:rsidR="005C2492" w:rsidRDefault="005C2492" w:rsidP="005C2492">
      <w:pPr>
        <w:autoSpaceDE w:val="0"/>
        <w:spacing w:before="100" w:after="100"/>
        <w:jc w:val="both"/>
      </w:pPr>
      <w:r w:rsidRPr="005C2492">
        <w:t xml:space="preserve">Le Pouvoir Adjudicateur procèdera à l’analyse des candidatures reçues et sélectionnera </w:t>
      </w:r>
      <w:r w:rsidR="008442D6">
        <w:rPr>
          <w:b/>
        </w:rPr>
        <w:t>10</w:t>
      </w:r>
      <w:r>
        <w:rPr>
          <w:b/>
        </w:rPr>
        <w:t xml:space="preserve"> </w:t>
      </w:r>
      <w:r w:rsidRPr="005C2492">
        <w:t>candidats par lot, sous réserve de l’o</w:t>
      </w:r>
      <w:r>
        <w:t xml:space="preserve">btention d’une note minimale de </w:t>
      </w:r>
      <w:r w:rsidRPr="005C2492">
        <w:rPr>
          <w:b/>
          <w:color w:val="FF0000"/>
        </w:rPr>
        <w:t>70/100</w:t>
      </w:r>
      <w:r w:rsidRPr="005C2492">
        <w:rPr>
          <w:color w:val="FF0000"/>
        </w:rPr>
        <w:t xml:space="preserve"> </w:t>
      </w:r>
      <w:r w:rsidRPr="005C2492">
        <w:t>points sur les critères de candidature et d’un nombre suffisant de candidatures, à qui il sera demandé la remise d’une offre initiale</w:t>
      </w:r>
      <w:r w:rsidR="008442D6">
        <w:t>.</w:t>
      </w:r>
    </w:p>
    <w:p w14:paraId="0352000A" w14:textId="79E50397" w:rsidR="005C2492" w:rsidRDefault="005C2492" w:rsidP="005C2492">
      <w:pPr>
        <w:pStyle w:val="Paragraphedeliste"/>
        <w:numPr>
          <w:ilvl w:val="0"/>
          <w:numId w:val="44"/>
        </w:numPr>
        <w:autoSpaceDE w:val="0"/>
        <w:spacing w:before="100" w:after="100"/>
      </w:pPr>
      <w:r w:rsidRPr="005C2492">
        <w:t>La phase 2 – Offre initiale : </w:t>
      </w:r>
    </w:p>
    <w:p w14:paraId="7BD84430" w14:textId="51B6D588" w:rsidR="005C2492" w:rsidRPr="005C2492" w:rsidRDefault="005C2492" w:rsidP="005C2492">
      <w:pPr>
        <w:autoSpaceDE w:val="0"/>
        <w:spacing w:before="100" w:after="100"/>
        <w:jc w:val="both"/>
      </w:pPr>
      <w:r w:rsidRPr="005C2492">
        <w:t>Cette offre sera analysée et un premier classement sera effectué pour chacun des lots, selon les critères mentionnés à l’article jugement des offres,</w:t>
      </w:r>
    </w:p>
    <w:p w14:paraId="32BCED5C" w14:textId="406A8E58" w:rsidR="005C2492" w:rsidRPr="005C2492" w:rsidRDefault="005C2492" w:rsidP="005C2492">
      <w:pPr>
        <w:autoSpaceDE w:val="0"/>
        <w:spacing w:before="100" w:after="100"/>
        <w:jc w:val="both"/>
      </w:pPr>
      <w:r w:rsidRPr="005C2492">
        <w:t xml:space="preserve">A l’issue de l’analyse un classement sera effectué, seuls les </w:t>
      </w:r>
      <w:r w:rsidR="008442D6">
        <w:rPr>
          <w:b/>
        </w:rPr>
        <w:t>10</w:t>
      </w:r>
      <w:r w:rsidRPr="005C2492">
        <w:t xml:space="preserve"> premiers candidats de chacun des deux lots, seront admis aux négociations, à la condition d’avoir obtenu un minimum de </w:t>
      </w:r>
      <w:r w:rsidRPr="005C2492">
        <w:rPr>
          <w:color w:val="FF0000"/>
        </w:rPr>
        <w:t>35/50</w:t>
      </w:r>
      <w:r w:rsidRPr="005C2492">
        <w:t xml:space="preserve"> sur la note technique. – pour sélectionner les offres admises aux négociations</w:t>
      </w:r>
    </w:p>
    <w:p w14:paraId="14EAC003" w14:textId="35B4A8D3" w:rsidR="005C2492" w:rsidRDefault="005C2492" w:rsidP="005C2492">
      <w:pPr>
        <w:pStyle w:val="Paragraphedeliste"/>
        <w:numPr>
          <w:ilvl w:val="0"/>
          <w:numId w:val="44"/>
        </w:numPr>
        <w:autoSpaceDE w:val="0"/>
        <w:spacing w:before="100" w:after="100"/>
      </w:pPr>
      <w:r w:rsidRPr="005C2492">
        <w:t>La phase 3 – Négociations pour chacun des lots </w:t>
      </w:r>
    </w:p>
    <w:p w14:paraId="0CD4E18D" w14:textId="1B6F4F4D" w:rsidR="005C2492" w:rsidRPr="005C2492" w:rsidRDefault="005C2492" w:rsidP="005C2492">
      <w:pPr>
        <w:autoSpaceDE w:val="0"/>
        <w:spacing w:before="100" w:after="100"/>
        <w:jc w:val="both"/>
      </w:pPr>
      <w:r w:rsidRPr="005C2492">
        <w:t xml:space="preserve">Après ce premier tour de négociation, les </w:t>
      </w:r>
      <w:r w:rsidR="008442D6">
        <w:rPr>
          <w:b/>
        </w:rPr>
        <w:t>5 meilleurs</w:t>
      </w:r>
      <w:r w:rsidRPr="005C2492">
        <w:t xml:space="preserve"> candidats, de chaque lot, se verront demander une offre négociée </w:t>
      </w:r>
      <w:r w:rsidR="008442D6">
        <w:t>finale</w:t>
      </w:r>
      <w:r w:rsidRPr="005C2492">
        <w:t>, et un nouveau classement sera effectué.</w:t>
      </w:r>
    </w:p>
    <w:p w14:paraId="630106D8" w14:textId="4E6FC320" w:rsidR="005C2492" w:rsidRPr="005C2492" w:rsidRDefault="005C2492" w:rsidP="005C2492">
      <w:pPr>
        <w:pStyle w:val="Paragraphedeliste"/>
        <w:numPr>
          <w:ilvl w:val="0"/>
          <w:numId w:val="44"/>
        </w:numPr>
        <w:autoSpaceDE w:val="0"/>
        <w:spacing w:before="100" w:after="100"/>
      </w:pPr>
      <w:r w:rsidRPr="005C2492">
        <w:t>La phase 4 – Offre finale : </w:t>
      </w:r>
    </w:p>
    <w:p w14:paraId="3970845B" w14:textId="00AFA9DB" w:rsidR="005C2492" w:rsidRDefault="005C2492" w:rsidP="005C2492">
      <w:pPr>
        <w:autoSpaceDE w:val="0"/>
        <w:spacing w:before="100" w:after="100"/>
      </w:pPr>
      <w:r w:rsidRPr="005C2492">
        <w:t xml:space="preserve">Les attributaires de chaque lot seront sélectionnés sur la base des offres financières et techniques après remise de l’offre finale. Un classement final sera établi, et les </w:t>
      </w:r>
      <w:r w:rsidRPr="005C2492">
        <w:rPr>
          <w:b/>
        </w:rPr>
        <w:t>5</w:t>
      </w:r>
      <w:r w:rsidRPr="005C2492">
        <w:t xml:space="preserve"> premiers candidats de chaque lot, </w:t>
      </w:r>
      <w:r>
        <w:t>se verront attribuer le marché.</w:t>
      </w:r>
    </w:p>
    <w:p w14:paraId="2C926283" w14:textId="77777777" w:rsidR="005C2492" w:rsidRPr="005C2492" w:rsidRDefault="005C2492" w:rsidP="005C2492"/>
    <w:p w14:paraId="06DA1210" w14:textId="6976FA63" w:rsidR="005C2492" w:rsidRPr="005C2492" w:rsidRDefault="005C2492" w:rsidP="005C2492">
      <w:r w:rsidRPr="005C2492">
        <w:t>En cas d’absence de réponse à une négociation, l’offre précédemment remise (offre V0 ou offre V1) sera prise en compte pour le classement</w:t>
      </w:r>
    </w:p>
    <w:p w14:paraId="2F7A8121" w14:textId="77777777" w:rsidR="00E82CE3" w:rsidRDefault="00E82CE3">
      <w:pPr>
        <w:pStyle w:val="RedaliaNormal"/>
      </w:pPr>
    </w:p>
    <w:p w14:paraId="09B8A17D" w14:textId="4EC4ADC3" w:rsidR="00E82CE3" w:rsidRDefault="00793A01">
      <w:pPr>
        <w:widowControl/>
        <w:suppressAutoHyphens w:val="0"/>
      </w:pPr>
      <w:r>
        <w:rPr>
          <w:szCs w:val="22"/>
        </w:rPr>
        <w:t>L’AFD se réserve également le droit d’attribuer le marché sur la base de l’offre initiale, sans négociation</w:t>
      </w:r>
      <w:r>
        <w:t xml:space="preserve">. </w:t>
      </w:r>
    </w:p>
    <w:p w14:paraId="0B17EB5D" w14:textId="77777777" w:rsidR="00E82CE3" w:rsidRDefault="00E82CE3">
      <w:pPr>
        <w:widowControl/>
        <w:suppressAutoHyphens w:val="0"/>
      </w:pPr>
    </w:p>
    <w:p w14:paraId="2FAD160B" w14:textId="77777777" w:rsidR="00E82CE3" w:rsidRPr="005646CF" w:rsidRDefault="00793A01">
      <w:pPr>
        <w:widowControl/>
        <w:suppressAutoHyphens w:val="0"/>
        <w:rPr>
          <w:color w:val="FF0000"/>
        </w:rPr>
      </w:pPr>
      <w:r w:rsidRPr="005646CF">
        <w:rPr>
          <w:b/>
          <w:color w:val="FF0000"/>
          <w:szCs w:val="22"/>
        </w:rPr>
        <w:t>En conséquence, chaque soumissionnaire doit remettre spontanément sa meilleure offre.</w:t>
      </w:r>
      <w:r w:rsidRPr="005646CF">
        <w:rPr>
          <w:color w:val="FF0000"/>
          <w:szCs w:val="22"/>
        </w:rPr>
        <w:t xml:space="preserve"> </w:t>
      </w:r>
    </w:p>
    <w:p w14:paraId="1E3373DF" w14:textId="4929D170" w:rsidR="00E82CE3" w:rsidRDefault="00E82CE3">
      <w:pPr>
        <w:pStyle w:val="RedaliaNormal"/>
      </w:pPr>
    </w:p>
    <w:p w14:paraId="72690FE9" w14:textId="77777777" w:rsidR="006347B0" w:rsidRDefault="006347B0" w:rsidP="006347B0">
      <w:pPr>
        <w:pStyle w:val="RedaliaNormal"/>
      </w:pPr>
      <w:r>
        <w:t xml:space="preserve">Sera déclarée comme irrégulière, une offre, qui, tout en apportant une réponse au besoin du pouvoir adjudicateur, est incomplète ou ne respecte pas les exigences formulées au sein des documents de la consultation. </w:t>
      </w:r>
    </w:p>
    <w:p w14:paraId="64548376" w14:textId="77777777" w:rsidR="006347B0" w:rsidRDefault="006347B0">
      <w:pPr>
        <w:pStyle w:val="RedaliaNormal"/>
      </w:pPr>
    </w:p>
    <w:p w14:paraId="36F0FD9E" w14:textId="77777777" w:rsidR="00E82CE3" w:rsidRDefault="00793A01">
      <w:pPr>
        <w:pStyle w:val="RedaliaTitre2"/>
      </w:pPr>
      <w:bookmarkStart w:id="25" w:name="_Toc196406037"/>
      <w:r>
        <w:t>Mode de dévolution : accords-cadres séparés</w:t>
      </w:r>
      <w:bookmarkEnd w:id="25"/>
    </w:p>
    <w:p w14:paraId="563E5470" w14:textId="77777777" w:rsidR="00E82CE3" w:rsidRDefault="00793A01">
      <w:pPr>
        <w:pStyle w:val="RedaliaNormal"/>
      </w:pPr>
      <w:r>
        <w:t>La consultation est divisée en lots, chaque lot faisant l’objet d’un accord-cadre séparé confié à une entreprise unique ou un groupement d’entreprises.</w:t>
      </w:r>
    </w:p>
    <w:p w14:paraId="303A35D0" w14:textId="77777777" w:rsidR="00E82CE3" w:rsidRDefault="00E82CE3">
      <w:pPr>
        <w:pStyle w:val="RedaliaNormal"/>
      </w:pPr>
    </w:p>
    <w:p w14:paraId="442F4055" w14:textId="77777777" w:rsidR="00E82CE3" w:rsidRDefault="00793A01">
      <w:pPr>
        <w:pStyle w:val="RedaliaNormal"/>
      </w:pPr>
      <w:r>
        <w:t>Possibilité de présenter une offre pour :</w:t>
      </w:r>
    </w:p>
    <w:p w14:paraId="63C3D990" w14:textId="77777777" w:rsidR="00E82CE3" w:rsidRDefault="00793A01">
      <w:pPr>
        <w:pStyle w:val="RedaliaRetrait2avecpuce"/>
      </w:pPr>
      <w:r>
        <w:rPr>
          <w:rFonts w:ascii="Wingdings" w:eastAsia="Wingdings" w:hAnsi="Wingdings" w:cs="Wingdings"/>
          <w:szCs w:val="22"/>
        </w:rPr>
        <w:lastRenderedPageBreak/>
        <w:t></w:t>
      </w:r>
      <w:r>
        <w:t xml:space="preserve"> Un lot</w:t>
      </w:r>
    </w:p>
    <w:p w14:paraId="6B7E5D99" w14:textId="77777777" w:rsidR="00E82CE3" w:rsidRDefault="00793A01">
      <w:pPr>
        <w:pStyle w:val="RedaliaRetrait2avecpuce"/>
      </w:pPr>
      <w:r>
        <w:rPr>
          <w:rFonts w:ascii="Wingdings" w:eastAsia="Wingdings" w:hAnsi="Wingdings" w:cs="Wingdings"/>
          <w:szCs w:val="22"/>
        </w:rPr>
        <w:t></w:t>
      </w:r>
      <w:r>
        <w:t xml:space="preserve"> Un ou plusieurs lots</w:t>
      </w:r>
    </w:p>
    <w:p w14:paraId="69D9B330" w14:textId="77777777" w:rsidR="00E82CE3" w:rsidRDefault="00793A01">
      <w:pPr>
        <w:pStyle w:val="RedaliaRetrait2avecpuce"/>
      </w:pPr>
      <w:r>
        <w:rPr>
          <w:rFonts w:ascii="Wingdings" w:eastAsia="Wingdings" w:hAnsi="Wingdings" w:cs="Wingdings"/>
          <w:szCs w:val="22"/>
        </w:rPr>
        <w:t></w:t>
      </w:r>
      <w:r>
        <w:t xml:space="preserve"> L’ensemble des lots</w:t>
      </w:r>
    </w:p>
    <w:p w14:paraId="5FBC14F9" w14:textId="77777777" w:rsidR="00E82CE3" w:rsidRDefault="00793A01">
      <w:pPr>
        <w:pStyle w:val="RedaliaTitre2"/>
      </w:pPr>
      <w:bookmarkStart w:id="26" w:name="_Toc196406038"/>
      <w:r>
        <w:t>Dispositions relatives aux groupements</w:t>
      </w:r>
      <w:bookmarkEnd w:id="26"/>
    </w:p>
    <w:p w14:paraId="4D7D7ACF" w14:textId="77777777" w:rsidR="00E82CE3" w:rsidRDefault="00793A01">
      <w:pPr>
        <w:pStyle w:val="RedaliaNormal"/>
      </w:pPr>
      <w:r>
        <w:t>L’accord-cadre pourra être attribué à une seule entreprise ou à un groupement d’entreprises.</w:t>
      </w:r>
    </w:p>
    <w:p w14:paraId="61DD35AF" w14:textId="77777777" w:rsidR="00E82CE3" w:rsidRDefault="00793A01">
      <w:pPr>
        <w:pStyle w:val="RedaliaNormal"/>
      </w:pPr>
      <w:r>
        <w:t>Si l’accord-cadre est attribué à un groupement conjoint, le mandataire conjoint sera solidaire de chacun des membres du groupement.</w:t>
      </w:r>
    </w:p>
    <w:p w14:paraId="7E615648" w14:textId="77777777" w:rsidR="00E82CE3" w:rsidRDefault="00793A01">
      <w:pPr>
        <w:pStyle w:val="RedaliaNormal"/>
      </w:pPr>
      <w:r>
        <w:t>Possibilité de présenter pour l’accord-cadre plusieurs offres en agissant à la fois en qualité de candidats individuels et de membres d’un ou plusieurs groupements :</w:t>
      </w:r>
    </w:p>
    <w:p w14:paraId="773814F2" w14:textId="77777777" w:rsidR="00E82CE3" w:rsidRDefault="00793A01">
      <w:pPr>
        <w:pStyle w:val="RedaliaRetrait2avecpuce"/>
      </w:pPr>
      <w:r>
        <w:rPr>
          <w:rFonts w:ascii="Wingdings" w:eastAsia="Wingdings" w:hAnsi="Wingdings" w:cs="Wingdings"/>
          <w:szCs w:val="22"/>
        </w:rPr>
        <w:t></w:t>
      </w:r>
      <w:r>
        <w:t xml:space="preserve"> Oui</w:t>
      </w:r>
    </w:p>
    <w:p w14:paraId="3D886D71" w14:textId="77777777" w:rsidR="00E82CE3" w:rsidRDefault="00793A01">
      <w:pPr>
        <w:pStyle w:val="RedaliaRetrait2avecpuce"/>
      </w:pPr>
      <w:r>
        <w:rPr>
          <w:rFonts w:ascii="Wingdings" w:eastAsia="Wingdings" w:hAnsi="Wingdings" w:cs="Wingdings"/>
          <w:szCs w:val="22"/>
        </w:rPr>
        <w:t></w:t>
      </w:r>
      <w:r>
        <w:t xml:space="preserve"> Non</w:t>
      </w:r>
    </w:p>
    <w:p w14:paraId="35DB66B0" w14:textId="77777777" w:rsidR="00E82CE3" w:rsidRDefault="00793A01">
      <w:pPr>
        <w:pStyle w:val="RedaliaNormal"/>
      </w:pPr>
      <w:r>
        <w:t>Ou en qualité de membres de plusieurs groupements :</w:t>
      </w:r>
    </w:p>
    <w:p w14:paraId="3CFF3139" w14:textId="77777777" w:rsidR="00E82CE3" w:rsidRDefault="00793A01">
      <w:pPr>
        <w:pStyle w:val="RedaliaRetrait2avecpuce"/>
      </w:pPr>
      <w:r>
        <w:rPr>
          <w:rFonts w:ascii="Wingdings" w:eastAsia="Wingdings" w:hAnsi="Wingdings" w:cs="Wingdings"/>
          <w:szCs w:val="22"/>
        </w:rPr>
        <w:t></w:t>
      </w:r>
      <w:r>
        <w:t xml:space="preserve"> Oui</w:t>
      </w:r>
    </w:p>
    <w:p w14:paraId="298C3D31" w14:textId="77777777" w:rsidR="00793A01" w:rsidRDefault="00793A01" w:rsidP="00793A01">
      <w:pPr>
        <w:pStyle w:val="RedaliaRetrait2avecpuce"/>
      </w:pPr>
      <w:r>
        <w:rPr>
          <w:rFonts w:ascii="Wingdings" w:eastAsia="Wingdings" w:hAnsi="Wingdings" w:cs="Wingdings"/>
          <w:szCs w:val="22"/>
        </w:rPr>
        <w:t></w:t>
      </w:r>
      <w:r>
        <w:t xml:space="preserve"> Non</w:t>
      </w:r>
    </w:p>
    <w:p w14:paraId="79F05207" w14:textId="77777777" w:rsidR="00E82CE3" w:rsidRDefault="00793A01">
      <w:pPr>
        <w:pStyle w:val="RedaliaTitre2"/>
      </w:pPr>
      <w:bookmarkStart w:id="27" w:name="_Toc79070494"/>
      <w:bookmarkStart w:id="28" w:name="_Toc196406039"/>
      <w:r>
        <w:t>Contenu du dossier de consultation</w:t>
      </w:r>
      <w:bookmarkEnd w:id="27"/>
      <w:bookmarkEnd w:id="28"/>
    </w:p>
    <w:p w14:paraId="1387CD75" w14:textId="77777777" w:rsidR="00E82CE3" w:rsidRDefault="00793A01">
      <w:pPr>
        <w:pStyle w:val="RedaliaNormal"/>
      </w:pPr>
      <w:r>
        <w:t>Le dossier de consultation des entreprises comprend les pièces suivantes :</w:t>
      </w:r>
    </w:p>
    <w:p w14:paraId="5BE1BF2B" w14:textId="77777777" w:rsidR="00E82CE3" w:rsidRDefault="00793A01" w:rsidP="00BF6167">
      <w:pPr>
        <w:pStyle w:val="Default"/>
        <w:numPr>
          <w:ilvl w:val="0"/>
          <w:numId w:val="18"/>
        </w:numPr>
        <w:ind w:hanging="357"/>
        <w:rPr>
          <w:sz w:val="22"/>
          <w:szCs w:val="22"/>
        </w:rPr>
      </w:pPr>
      <w:r>
        <w:rPr>
          <w:sz w:val="22"/>
          <w:szCs w:val="22"/>
        </w:rPr>
        <w:t xml:space="preserve">Le présent Règlement de la Consultation (RC) et ses annexes ; </w:t>
      </w:r>
    </w:p>
    <w:p w14:paraId="7E6FC143" w14:textId="5F0EBF52" w:rsidR="00E82CE3" w:rsidRDefault="00793A01" w:rsidP="00BF6167">
      <w:pPr>
        <w:pStyle w:val="Default"/>
        <w:numPr>
          <w:ilvl w:val="0"/>
          <w:numId w:val="18"/>
        </w:numPr>
        <w:ind w:hanging="357"/>
        <w:rPr>
          <w:sz w:val="22"/>
          <w:szCs w:val="22"/>
        </w:rPr>
      </w:pPr>
      <w:r>
        <w:rPr>
          <w:sz w:val="22"/>
          <w:szCs w:val="22"/>
        </w:rPr>
        <w:t>Le Cont</w:t>
      </w:r>
      <w:r w:rsidR="00BF6167">
        <w:rPr>
          <w:sz w:val="22"/>
          <w:szCs w:val="22"/>
        </w:rPr>
        <w:t xml:space="preserve">rat Unique (CU) </w:t>
      </w:r>
    </w:p>
    <w:p w14:paraId="6F1B240A" w14:textId="77777777" w:rsidR="00793A01" w:rsidRDefault="00793A01" w:rsidP="00BF6167">
      <w:pPr>
        <w:pStyle w:val="Default"/>
        <w:numPr>
          <w:ilvl w:val="0"/>
          <w:numId w:val="18"/>
        </w:numPr>
        <w:ind w:hanging="357"/>
        <w:rPr>
          <w:sz w:val="22"/>
          <w:szCs w:val="22"/>
        </w:rPr>
      </w:pPr>
      <w:r>
        <w:rPr>
          <w:sz w:val="22"/>
          <w:szCs w:val="22"/>
        </w:rPr>
        <w:t xml:space="preserve">L’annexe financière </w:t>
      </w:r>
    </w:p>
    <w:p w14:paraId="20563615" w14:textId="30445E1C" w:rsidR="00E82CE3" w:rsidRDefault="00793A01" w:rsidP="00BF6167">
      <w:pPr>
        <w:pStyle w:val="Default"/>
        <w:numPr>
          <w:ilvl w:val="1"/>
          <w:numId w:val="18"/>
        </w:numPr>
        <w:ind w:hanging="357"/>
        <w:rPr>
          <w:sz w:val="22"/>
          <w:szCs w:val="22"/>
        </w:rPr>
      </w:pPr>
      <w:r>
        <w:rPr>
          <w:sz w:val="22"/>
          <w:szCs w:val="22"/>
        </w:rPr>
        <w:t>(Bordereau des Prix Unitaire</w:t>
      </w:r>
      <w:r w:rsidR="00AF6118">
        <w:rPr>
          <w:sz w:val="22"/>
          <w:szCs w:val="22"/>
        </w:rPr>
        <w:t>s</w:t>
      </w:r>
      <w:r>
        <w:rPr>
          <w:sz w:val="22"/>
          <w:szCs w:val="22"/>
        </w:rPr>
        <w:t xml:space="preserve"> (BPU-BC) et son Détail Quantitatif Estimatif (DQE-BC))</w:t>
      </w:r>
    </w:p>
    <w:p w14:paraId="30E85716" w14:textId="6E385490" w:rsidR="00793A01" w:rsidRDefault="00793A01" w:rsidP="00BF6167">
      <w:pPr>
        <w:pStyle w:val="Default"/>
        <w:numPr>
          <w:ilvl w:val="1"/>
          <w:numId w:val="18"/>
        </w:numPr>
        <w:ind w:hanging="357"/>
        <w:rPr>
          <w:sz w:val="22"/>
          <w:szCs w:val="22"/>
        </w:rPr>
      </w:pPr>
      <w:r>
        <w:rPr>
          <w:sz w:val="22"/>
          <w:szCs w:val="22"/>
        </w:rPr>
        <w:t>Bordereau des Prix Unitaire</w:t>
      </w:r>
      <w:r w:rsidR="00AF6118">
        <w:rPr>
          <w:sz w:val="22"/>
          <w:szCs w:val="22"/>
        </w:rPr>
        <w:t>s</w:t>
      </w:r>
      <w:r>
        <w:rPr>
          <w:sz w:val="22"/>
          <w:szCs w:val="22"/>
        </w:rPr>
        <w:t xml:space="preserve"> (BPU-MS) et son Détail Quantitatif Estimatif (DQE-MS))</w:t>
      </w:r>
    </w:p>
    <w:p w14:paraId="26657828" w14:textId="77777777" w:rsidR="00E82CE3" w:rsidRDefault="00793A01" w:rsidP="00BF6167">
      <w:pPr>
        <w:pStyle w:val="Default"/>
        <w:numPr>
          <w:ilvl w:val="0"/>
          <w:numId w:val="18"/>
        </w:numPr>
        <w:ind w:hanging="357"/>
        <w:rPr>
          <w:sz w:val="22"/>
          <w:szCs w:val="22"/>
        </w:rPr>
      </w:pPr>
      <w:r>
        <w:rPr>
          <w:sz w:val="22"/>
          <w:szCs w:val="22"/>
        </w:rPr>
        <w:t xml:space="preserve">Le Cahier de Clauses Techniques Particulières (C.C.T.P) relatif à l’accord-cadre et ses annexes ; </w:t>
      </w:r>
    </w:p>
    <w:p w14:paraId="1DBF56AC" w14:textId="11989837" w:rsidR="00E82CE3" w:rsidRDefault="00793A01" w:rsidP="00BF6167">
      <w:pPr>
        <w:pStyle w:val="Default"/>
        <w:numPr>
          <w:ilvl w:val="0"/>
          <w:numId w:val="18"/>
        </w:numPr>
        <w:ind w:hanging="357"/>
        <w:rPr>
          <w:sz w:val="22"/>
          <w:szCs w:val="22"/>
        </w:rPr>
      </w:pPr>
      <w:r>
        <w:rPr>
          <w:sz w:val="22"/>
          <w:szCs w:val="22"/>
        </w:rPr>
        <w:t xml:space="preserve">Formulaire de candidature – </w:t>
      </w:r>
      <w:r w:rsidR="009D10BF">
        <w:rPr>
          <w:sz w:val="22"/>
          <w:szCs w:val="22"/>
        </w:rPr>
        <w:t xml:space="preserve">en </w:t>
      </w:r>
      <w:r>
        <w:rPr>
          <w:sz w:val="22"/>
          <w:szCs w:val="22"/>
        </w:rPr>
        <w:t xml:space="preserve">Annexe </w:t>
      </w:r>
    </w:p>
    <w:p w14:paraId="78A309F7" w14:textId="77777777" w:rsidR="00E82CE3" w:rsidRDefault="00793A01" w:rsidP="00BF6167">
      <w:pPr>
        <w:pStyle w:val="Default"/>
        <w:numPr>
          <w:ilvl w:val="0"/>
          <w:numId w:val="18"/>
        </w:numPr>
        <w:ind w:hanging="357"/>
        <w:rPr>
          <w:sz w:val="22"/>
          <w:szCs w:val="22"/>
        </w:rPr>
      </w:pPr>
      <w:r>
        <w:rPr>
          <w:sz w:val="22"/>
          <w:szCs w:val="22"/>
        </w:rPr>
        <w:t>Fiche d’identité Tiers (facturation Expertise France) (Cf. Conditions de paiement Expertise France)</w:t>
      </w:r>
    </w:p>
    <w:p w14:paraId="21C22FE9" w14:textId="77777777" w:rsidR="00E82CE3" w:rsidRDefault="00793A01">
      <w:pPr>
        <w:pStyle w:val="RedaliaTitre2"/>
      </w:pPr>
      <w:bookmarkStart w:id="29" w:name="_Toc196406040"/>
      <w:r>
        <w:t>Modification du DCE</w:t>
      </w:r>
      <w:bookmarkEnd w:id="29"/>
    </w:p>
    <w:p w14:paraId="31B4B5C4" w14:textId="77777777" w:rsidR="00E82CE3" w:rsidRDefault="00793A01">
      <w:pPr>
        <w:pStyle w:val="RedaliaNormal"/>
      </w:pPr>
      <w:r>
        <w:t xml:space="preserve">L'AFD se réserve le droit d'apporter au plus tard </w:t>
      </w:r>
      <w:r>
        <w:rPr>
          <w:b/>
          <w:bCs/>
        </w:rPr>
        <w:t>6 jours</w:t>
      </w:r>
      <w:r>
        <w:t xml:space="preserve"> avant la date limite fixée pour la remise des offres, des modifications de détail au DCE.</w:t>
      </w:r>
    </w:p>
    <w:p w14:paraId="7CADFBE9" w14:textId="77777777" w:rsidR="00E82CE3" w:rsidRDefault="00793A01">
      <w:pPr>
        <w:pStyle w:val="RedaliaNormal"/>
      </w:pPr>
      <w:r>
        <w:t>Les soumissionnaires devront alors répondre sur la base du dossier modifié sans pouvoir élever aucune réclamation à ce sujet.</w:t>
      </w:r>
    </w:p>
    <w:p w14:paraId="39A6266F" w14:textId="77777777" w:rsidR="00E82CE3" w:rsidRDefault="00793A01">
      <w:pPr>
        <w:pStyle w:val="RedaliaNormal"/>
      </w:pPr>
      <w:r>
        <w:t>Si pendant l'étude du dossier par les candidats la date limite ci-dessus est reportée, la disposition précédente est applicable en fonction de cette nouvelle date.</w:t>
      </w:r>
    </w:p>
    <w:p w14:paraId="361D55DA" w14:textId="77777777" w:rsidR="00E82CE3" w:rsidRDefault="00793A01">
      <w:pPr>
        <w:pStyle w:val="RedaliaTitre2"/>
      </w:pPr>
      <w:bookmarkStart w:id="30" w:name="_Toc79070497"/>
      <w:bookmarkStart w:id="31" w:name="_Toc196406041"/>
      <w:r>
        <w:t>Délai de validité des offres</w:t>
      </w:r>
      <w:bookmarkEnd w:id="6"/>
      <w:bookmarkEnd w:id="30"/>
      <w:bookmarkEnd w:id="31"/>
    </w:p>
    <w:p w14:paraId="1E736AC2" w14:textId="77777777" w:rsidR="00E82CE3" w:rsidRDefault="00793A01">
      <w:pPr>
        <w:pStyle w:val="RedaliaNormal"/>
      </w:pPr>
      <w:r>
        <w:t>Le délai de validité des offres est de 180 jours à compter de la date limite de remise de l’offre finale.</w:t>
      </w:r>
    </w:p>
    <w:p w14:paraId="4CD350CB" w14:textId="77777777" w:rsidR="00E82CE3" w:rsidRDefault="00793A01">
      <w:pPr>
        <w:pStyle w:val="RedaliaTitre1"/>
      </w:pPr>
      <w:bookmarkStart w:id="32" w:name="_Toc79070498"/>
      <w:bookmarkStart w:id="33" w:name="_Toc196406042"/>
      <w:r>
        <w:t>Durée de l’accord-cadre – Reconduction – Délais d’exécution</w:t>
      </w:r>
      <w:bookmarkEnd w:id="32"/>
      <w:bookmarkEnd w:id="33"/>
    </w:p>
    <w:p w14:paraId="61CF5E0D" w14:textId="1F0DD12A" w:rsidR="00E82CE3" w:rsidRDefault="00793A01">
      <w:pPr>
        <w:pStyle w:val="RedaliaNormal"/>
      </w:pPr>
      <w:r>
        <w:t>La durée de l’accord-cadre et les délais d’exécution figurent dans le Contrat unique.</w:t>
      </w:r>
    </w:p>
    <w:p w14:paraId="6B57FE8C" w14:textId="701DFD30" w:rsidR="00E82CE3" w:rsidRDefault="00793A01">
      <w:pPr>
        <w:pStyle w:val="RedaliaNormal"/>
      </w:pPr>
      <w:r>
        <w:t>L’accord-cadre pourra être reconduit dans les conditions définies dans le Contrat unique.</w:t>
      </w:r>
    </w:p>
    <w:p w14:paraId="29CD3B4B" w14:textId="77777777" w:rsidR="00E82CE3" w:rsidRDefault="00793A01">
      <w:pPr>
        <w:pStyle w:val="RedaliaTitre1"/>
      </w:pPr>
      <w:bookmarkStart w:id="34" w:name="_Toc79070499"/>
      <w:bookmarkStart w:id="35" w:name="_Toc196406043"/>
      <w:r>
        <w:t>Retrait du dossier de consultation</w:t>
      </w:r>
      <w:bookmarkEnd w:id="34"/>
      <w:bookmarkEnd w:id="35"/>
    </w:p>
    <w:p w14:paraId="41687E98" w14:textId="77777777" w:rsidR="00E82CE3" w:rsidRDefault="00793A01">
      <w:pPr>
        <w:pStyle w:val="RedaliaNormal"/>
      </w:pPr>
      <w:r>
        <w:lastRenderedPageBreak/>
        <w:t>Le pouvoir adjudicateur informe les candidats que le dossier de consultation est dématérialisé.</w:t>
      </w:r>
    </w:p>
    <w:p w14:paraId="60CD5898" w14:textId="77777777" w:rsidR="00E82CE3" w:rsidRDefault="00793A01">
      <w:pPr>
        <w:pStyle w:val="RedaliaNormal"/>
      </w:pPr>
      <w:r>
        <w:t>Le Dossier de Consultation des Entreprises (DCE) peut être consulté et téléchargé gratuitement à l’adresse suivante :</w:t>
      </w:r>
    </w:p>
    <w:p w14:paraId="40CCB515" w14:textId="77777777" w:rsidR="00E82CE3" w:rsidRDefault="00793A01">
      <w:pPr>
        <w:pStyle w:val="RedaliaNormal"/>
        <w:jc w:val="center"/>
      </w:pPr>
      <w:r>
        <w:t>https://www.marches-publics.gouv.fr/</w:t>
      </w:r>
    </w:p>
    <w:p w14:paraId="084BB5C2" w14:textId="77777777" w:rsidR="00E82CE3" w:rsidRDefault="00E82CE3">
      <w:pPr>
        <w:pStyle w:val="RedaliaNormal"/>
      </w:pPr>
    </w:p>
    <w:p w14:paraId="5B887FC2" w14:textId="77777777" w:rsidR="00E82CE3" w:rsidRDefault="00793A01">
      <w:pPr>
        <w:pStyle w:val="RedaliaNormal"/>
      </w:pPr>
      <w:r>
        <w:t>Afin de pouvoir décompresser et lire les documents mis à disposition par le pouvoir adjudicateur, les opérateurs économiques devront disposer des logiciels permettant de lire les formats suivants :</w:t>
      </w:r>
    </w:p>
    <w:p w14:paraId="1E9A1CBB" w14:textId="77777777" w:rsidR="00E82CE3" w:rsidRDefault="00793A01">
      <w:pPr>
        <w:pStyle w:val="RedaliaRetraitavecpuce"/>
        <w:numPr>
          <w:ilvl w:val="0"/>
          <w:numId w:val="18"/>
        </w:numPr>
      </w:pPr>
      <w:r>
        <w:t xml:space="preserve">Fichiers compressés au standard *.zip (lisibles par </w:t>
      </w:r>
      <w:proofErr w:type="spellStart"/>
      <w:r>
        <w:t>Winzip</w:t>
      </w:r>
      <w:proofErr w:type="spellEnd"/>
      <w:r>
        <w:t xml:space="preserve">, </w:t>
      </w:r>
      <w:proofErr w:type="spellStart"/>
      <w:r>
        <w:t>Quickzip</w:t>
      </w:r>
      <w:proofErr w:type="spellEnd"/>
      <w:r>
        <w:t>) ;</w:t>
      </w:r>
    </w:p>
    <w:p w14:paraId="194CF0F3" w14:textId="77777777" w:rsidR="00E82CE3" w:rsidRDefault="00793A01">
      <w:pPr>
        <w:pStyle w:val="RedaliaRetraitavecpuce"/>
        <w:numPr>
          <w:ilvl w:val="0"/>
          <w:numId w:val="18"/>
        </w:numPr>
      </w:pPr>
      <w:r>
        <w:t>Adobe® Acrobat® *.</w:t>
      </w:r>
      <w:proofErr w:type="spellStart"/>
      <w:r>
        <w:t>pdf</w:t>
      </w:r>
      <w:proofErr w:type="spellEnd"/>
      <w:r>
        <w:t xml:space="preserve"> (lisibles par le logiciel Adobe Reader) ;</w:t>
      </w:r>
    </w:p>
    <w:p w14:paraId="37C46AE7" w14:textId="77777777" w:rsidR="00E82CE3" w:rsidRDefault="00793A01">
      <w:pPr>
        <w:pStyle w:val="RedaliaRetraitavecpuce"/>
        <w:numPr>
          <w:ilvl w:val="0"/>
          <w:numId w:val="18"/>
        </w:numPr>
      </w:pPr>
      <w:r>
        <w:t>*.doc ou *.</w:t>
      </w:r>
      <w:proofErr w:type="spellStart"/>
      <w:r>
        <w:t>xls</w:t>
      </w:r>
      <w:proofErr w:type="spellEnd"/>
      <w:r>
        <w:t xml:space="preserve"> version 2000-2003 (lisibles par Microsoft Office ou OpenOffice) ;</w:t>
      </w:r>
    </w:p>
    <w:p w14:paraId="0545E47B" w14:textId="77777777" w:rsidR="00E82CE3" w:rsidRDefault="00793A01">
      <w:pPr>
        <w:pStyle w:val="RedaliaRetraitavecpuce"/>
        <w:numPr>
          <w:ilvl w:val="0"/>
          <w:numId w:val="18"/>
        </w:numPr>
      </w:pPr>
      <w:r>
        <w:t xml:space="preserve">Rich </w:t>
      </w:r>
      <w:proofErr w:type="spellStart"/>
      <w:r>
        <w:t>Text</w:t>
      </w:r>
      <w:proofErr w:type="spellEnd"/>
      <w:r>
        <w:t xml:space="preserve"> Format *.</w:t>
      </w:r>
      <w:proofErr w:type="spellStart"/>
      <w:r>
        <w:t>rtf</w:t>
      </w:r>
      <w:proofErr w:type="spellEnd"/>
      <w:r>
        <w:t> ;</w:t>
      </w:r>
    </w:p>
    <w:p w14:paraId="655AFDE0" w14:textId="77777777" w:rsidR="00E82CE3" w:rsidRDefault="00793A01">
      <w:pPr>
        <w:pStyle w:val="RedaliaRetraitavecpuce"/>
        <w:numPr>
          <w:ilvl w:val="0"/>
          <w:numId w:val="18"/>
        </w:numPr>
      </w:pPr>
      <w:r>
        <w:t xml:space="preserve">Le cas échéant le format DWF (lisibles par les logiciels </w:t>
      </w:r>
      <w:proofErr w:type="spellStart"/>
      <w:r>
        <w:t>Autocad</w:t>
      </w:r>
      <w:proofErr w:type="spellEnd"/>
      <w:r>
        <w:t xml:space="preserve">, ou des visionneuses telles que Autodesk DWF </w:t>
      </w:r>
      <w:proofErr w:type="spellStart"/>
      <w:r>
        <w:t>viewer</w:t>
      </w:r>
      <w:proofErr w:type="spellEnd"/>
      <w:r>
        <w:t>…).</w:t>
      </w:r>
    </w:p>
    <w:p w14:paraId="6ECA673E" w14:textId="77777777" w:rsidR="00E82CE3" w:rsidRDefault="00E82CE3">
      <w:pPr>
        <w:pStyle w:val="RedaliaNormal"/>
      </w:pPr>
    </w:p>
    <w:p w14:paraId="65E7B2CD" w14:textId="77777777" w:rsidR="00E82CE3" w:rsidRDefault="00793A01">
      <w:pPr>
        <w:pStyle w:val="RedaliaNormal"/>
      </w:pPr>
      <w:r>
        <w:t>Lors du téléchargement du dossier de consultation, il est recommandé à l’entreprise de créer un compte sur la plateforme de dématérialisation où il renseignera notamment le nom de l’organisme soumissionnaire, et une adresse électronique afin de la tenir informée des modifications éventuelles intervenant en cours d’une procédure (ajout d’une pièce au DCE, envoi d’une liste de réponses aux questions reçues…).</w:t>
      </w:r>
    </w:p>
    <w:p w14:paraId="04C3574A" w14:textId="77777777" w:rsidR="00E82CE3" w:rsidRDefault="00E82CE3">
      <w:pPr>
        <w:pStyle w:val="RedaliaNormal"/>
      </w:pPr>
    </w:p>
    <w:p w14:paraId="54F86C2D" w14:textId="77777777" w:rsidR="00E82CE3" w:rsidRDefault="00793A01">
      <w:pPr>
        <w:pStyle w:val="RedaliaNormal"/>
      </w:pPr>
      <w:r>
        <w:t>Le candidat est informé que seul l’exemplaire du dossier de consultation détenu par le pouvoir adjudicateur fait foi.</w:t>
      </w:r>
    </w:p>
    <w:p w14:paraId="595AE053" w14:textId="77777777" w:rsidR="00E82CE3" w:rsidRDefault="00793A01">
      <w:pPr>
        <w:pStyle w:val="RedaliaTitre1"/>
      </w:pPr>
      <w:bookmarkStart w:id="36" w:name="_Toc79070500"/>
      <w:bookmarkStart w:id="37" w:name="_Toc196406044"/>
      <w:r>
        <w:t>Présentation des candidatures et des offres</w:t>
      </w:r>
      <w:bookmarkEnd w:id="36"/>
      <w:bookmarkEnd w:id="37"/>
    </w:p>
    <w:p w14:paraId="0E5CB229" w14:textId="77777777" w:rsidR="00E82CE3" w:rsidRDefault="00793A01">
      <w:pPr>
        <w:pStyle w:val="RedaliaNormal"/>
      </w:pPr>
      <w:r>
        <w:rPr>
          <w:b/>
          <w:bCs/>
          <w:color w:val="FF0000"/>
          <w:u w:val="single"/>
        </w:rPr>
        <w:t>Les candidats auront à produire</w:t>
      </w:r>
      <w:r>
        <w:rPr>
          <w:b/>
          <w:bCs/>
          <w:color w:val="FF0000"/>
        </w:rPr>
        <w:t xml:space="preserve"> les pièces ci-dessous définies rédigées en langue française</w:t>
      </w:r>
      <w:r>
        <w:rPr>
          <w:color w:val="FF0000"/>
        </w:rPr>
        <w:t>.</w:t>
      </w:r>
    </w:p>
    <w:p w14:paraId="152B98DA" w14:textId="77777777" w:rsidR="00E82CE3" w:rsidRDefault="00793A01">
      <w:pPr>
        <w:pStyle w:val="RedaliaNormal"/>
        <w:rPr>
          <w:b/>
          <w:color w:val="FF0000"/>
        </w:rPr>
      </w:pPr>
      <w:r>
        <w:rPr>
          <w:b/>
          <w:color w:val="FF0000"/>
        </w:rPr>
        <w:t>Les éléments nécessaires à la candidature définis ci-dessous sont produits lors de la phase de sélection des candidatures.</w:t>
      </w:r>
    </w:p>
    <w:p w14:paraId="4493A163" w14:textId="77777777" w:rsidR="00E82CE3" w:rsidRDefault="00793A01">
      <w:pPr>
        <w:pStyle w:val="RedaliaNormal"/>
        <w:rPr>
          <w:b/>
          <w:color w:val="FF0000"/>
        </w:rPr>
      </w:pPr>
      <w:r>
        <w:rPr>
          <w:b/>
          <w:color w:val="FF0000"/>
        </w:rPr>
        <w:t>Les éléments nécessaires à la sélection de l’offre ne seront produits ensuite que par les candidats sélectionnés.</w:t>
      </w:r>
    </w:p>
    <w:p w14:paraId="6EA323A9" w14:textId="77777777" w:rsidR="00E82CE3" w:rsidRDefault="00793A01">
      <w:pPr>
        <w:pStyle w:val="RedaliaTitre2"/>
      </w:pPr>
      <w:bookmarkStart w:id="38" w:name="_Toc196406045"/>
      <w:r>
        <w:t>Éléments nécessaires à la sélection des candidatures</w:t>
      </w:r>
      <w:bookmarkEnd w:id="38"/>
    </w:p>
    <w:p w14:paraId="039BFC4A" w14:textId="77777777" w:rsidR="00E82CE3" w:rsidRDefault="00E82CE3">
      <w:pPr>
        <w:pStyle w:val="RedaliaNormal"/>
      </w:pPr>
    </w:p>
    <w:p w14:paraId="122A59F5" w14:textId="77777777" w:rsidR="00E82CE3" w:rsidRDefault="00793A01">
      <w:pPr>
        <w:pStyle w:val="RedaliaNormal"/>
        <w:rPr>
          <w:color w:val="FF0000"/>
        </w:rPr>
      </w:pPr>
      <w:r>
        <w:rPr>
          <w:color w:val="FF0000"/>
        </w:rPr>
        <w:t>Le candidat doit envoyer un dossier de candidature complet par lot.</w:t>
      </w:r>
    </w:p>
    <w:p w14:paraId="7DC9D2E2" w14:textId="77777777" w:rsidR="00E82CE3" w:rsidRDefault="00E82CE3">
      <w:pPr>
        <w:pStyle w:val="RedaliaNormal"/>
      </w:pPr>
    </w:p>
    <w:p w14:paraId="17560D7D" w14:textId="77777777" w:rsidR="00E82CE3" w:rsidRDefault="00793A01">
      <w:pPr>
        <w:pStyle w:val="RedaliaNormal"/>
        <w:ind w:left="426" w:hanging="142"/>
      </w:pPr>
      <w:r>
        <w:t>- Déclaration sur l'honneur justifiant que le candidat n'entre dans aucun des cas mentionnés aux articles L. 2141-1 à L. 2141-5 ou aux articles L. 2141-7 à L. 2141-10 du Code de la commande publique (document en annexe)</w:t>
      </w:r>
    </w:p>
    <w:p w14:paraId="5B503692" w14:textId="77777777" w:rsidR="00E82CE3" w:rsidRDefault="00793A01">
      <w:pPr>
        <w:pStyle w:val="RedaliaNormal"/>
        <w:ind w:left="426" w:hanging="142"/>
      </w:pPr>
      <w:r>
        <w:t>- Le cas échéant, le(s) document(s) relatif(s) aux pouvoirs de la personne habilitée à engager l'entreprise</w:t>
      </w:r>
    </w:p>
    <w:p w14:paraId="2F4A67CA" w14:textId="77777777" w:rsidR="00E82CE3" w:rsidRDefault="00793A01">
      <w:pPr>
        <w:pStyle w:val="RedaliaNormal"/>
        <w:ind w:left="426" w:hanging="142"/>
      </w:pPr>
      <w:r>
        <w:t>- En cas de groupement, le document d'habilitation du mandataire signé par les membres du groupement</w:t>
      </w:r>
    </w:p>
    <w:p w14:paraId="547C87AC" w14:textId="77777777" w:rsidR="00E82CE3" w:rsidRDefault="00793A01">
      <w:pPr>
        <w:pStyle w:val="RedaliaNormal"/>
        <w:ind w:left="426" w:hanging="142"/>
      </w:pPr>
      <w:r>
        <w:t>- En cas de sous-traitance, la déclaration de sous-traitance (modèle joint au Contrat Unique)</w:t>
      </w:r>
    </w:p>
    <w:p w14:paraId="486DC2C7" w14:textId="77777777" w:rsidR="00E82CE3" w:rsidRDefault="00E82CE3">
      <w:pPr>
        <w:pStyle w:val="RedaliaNormal"/>
      </w:pPr>
    </w:p>
    <w:p w14:paraId="35D61859" w14:textId="77777777" w:rsidR="00E82CE3" w:rsidRDefault="00793A01">
      <w:pPr>
        <w:pStyle w:val="Redaliapuces"/>
        <w:numPr>
          <w:ilvl w:val="0"/>
          <w:numId w:val="29"/>
        </w:numPr>
        <w:tabs>
          <w:tab w:val="clear" w:pos="-852"/>
          <w:tab w:val="clear" w:pos="7370"/>
          <w:tab w:val="left" w:pos="-12611"/>
          <w:tab w:val="left" w:pos="-4389"/>
        </w:tabs>
        <w:ind w:left="426" w:hanging="142"/>
      </w:pPr>
      <w:r>
        <w:rPr>
          <w:color w:val="FF0000"/>
        </w:rPr>
        <w:t xml:space="preserve">Le dossier de candidature présenté en annexe du RC </w:t>
      </w:r>
      <w:r>
        <w:t xml:space="preserve">(reprenant les points ci-dessous développés) dûment complété - en version </w:t>
      </w:r>
      <w:proofErr w:type="spellStart"/>
      <w:r>
        <w:t>pdf</w:t>
      </w:r>
      <w:proofErr w:type="spellEnd"/>
      <w:r>
        <w:t xml:space="preserve"> et </w:t>
      </w:r>
      <w:r>
        <w:rPr>
          <w:color w:val="FF0000"/>
        </w:rPr>
        <w:t>Excel obligatoirement</w:t>
      </w:r>
    </w:p>
    <w:p w14:paraId="7170CFD1" w14:textId="77777777" w:rsidR="00E82CE3" w:rsidRDefault="00E82CE3">
      <w:pPr>
        <w:pStyle w:val="Redaliapuces"/>
        <w:numPr>
          <w:ilvl w:val="0"/>
          <w:numId w:val="0"/>
        </w:numPr>
        <w:tabs>
          <w:tab w:val="clear" w:pos="-852"/>
          <w:tab w:val="clear" w:pos="7370"/>
          <w:tab w:val="left" w:pos="-7614"/>
          <w:tab w:val="left" w:pos="608"/>
        </w:tabs>
        <w:ind w:left="360" w:hanging="227"/>
      </w:pPr>
    </w:p>
    <w:p w14:paraId="4EA69FD0" w14:textId="77777777" w:rsidR="00E82CE3" w:rsidRDefault="00793A01">
      <w:pPr>
        <w:pStyle w:val="RedaliaNormal"/>
      </w:pPr>
      <w:r>
        <w:t xml:space="preserve">Le candidat pourra prouver sa capacité financière par tout autre document considéré comme </w:t>
      </w:r>
      <w:r>
        <w:lastRenderedPageBreak/>
        <w:t>équivalent par le pouvoir adjudicateur s’il est objectivement dans l’impossibilité de produire l’un des renseignements demandés relatifs à sa capacité financière.</w:t>
      </w:r>
    </w:p>
    <w:p w14:paraId="694DDC7B" w14:textId="77777777" w:rsidR="00E82CE3" w:rsidRDefault="00793A01">
      <w:pPr>
        <w:pStyle w:val="RedaliaNormal"/>
      </w:pPr>
      <w:r>
        <w:t>Si, pour justifier de ses capacités, le candidat souhaite faire prévaloir les capacités professionnelles, techniques et financières d’un autre intervenant quel qu’il soit, il devra produire les pièces relatives à cet intervenant visées au présent article ci-dessus. Il devra également justifier qu’il disposera des capacités de cet intervenant pour l’exécution de l’accord-cadre par un engagement écrit de l’intervenant.</w:t>
      </w:r>
    </w:p>
    <w:p w14:paraId="6B10466E" w14:textId="77777777" w:rsidR="00E82CE3" w:rsidRDefault="00E82CE3">
      <w:pPr>
        <w:pStyle w:val="RedaliaNormal"/>
      </w:pPr>
    </w:p>
    <w:p w14:paraId="3D3AB28D" w14:textId="77777777" w:rsidR="00E82CE3" w:rsidRDefault="00793A01">
      <w:pPr>
        <w:pStyle w:val="RedaliaNormal"/>
      </w:pPr>
      <w:r>
        <w:t>En vertu de l’article R. 2143-16 du Code de la commande publique, dans le cadre de leur candidature, il est exigé que les candidats joignent une traduction en français aux éléments rédigés dans une autre langue.</w:t>
      </w:r>
    </w:p>
    <w:p w14:paraId="0FE0952E" w14:textId="77777777" w:rsidR="00E82CE3" w:rsidRDefault="00E82CE3">
      <w:pPr>
        <w:pStyle w:val="RedaliaNormal"/>
      </w:pPr>
    </w:p>
    <w:p w14:paraId="35C7C3E7" w14:textId="77777777" w:rsidR="00E82CE3" w:rsidRDefault="00793A01">
      <w:pPr>
        <w:pStyle w:val="RedaliaNormal"/>
      </w:pPr>
      <w:r>
        <w:t>Il est porté à l’attention des candidats que, conformément aux dispositions de l’article R. 2143-13 du Code de la commande publique, ils ne sont pas tenus de fournir les documents justificatifs et moyens de preuve que l’acheteur peut obtenir directement par le biais :</w:t>
      </w:r>
    </w:p>
    <w:p w14:paraId="4BB3459E" w14:textId="77777777" w:rsidR="00E82CE3" w:rsidRDefault="00793A01">
      <w:pPr>
        <w:pStyle w:val="RedaliaNormal"/>
      </w:pPr>
      <w:r>
        <w:t>- D'un système électronique de mise à disposition d'informations administré par un organisme officiel à condition que l'accès à celui-ci soit gratuit et, le cas échéant, que figurent dans le dossier de candidature toutes les informations nécessaires à sa consultation ;</w:t>
      </w:r>
    </w:p>
    <w:p w14:paraId="378289ED" w14:textId="77777777" w:rsidR="00E82CE3" w:rsidRDefault="00793A01">
      <w:pPr>
        <w:pStyle w:val="RedaliaNormal"/>
      </w:pPr>
      <w:r>
        <w:t>- D'un espace de stockage numérique, à condition que figurent dans le dossier de candidature toutes les informations nécessaires à sa consultation et que l'accès à ceux-ci soit gratuit.</w:t>
      </w:r>
    </w:p>
    <w:p w14:paraId="25F22689" w14:textId="77777777" w:rsidR="00E82CE3" w:rsidRDefault="00793A01">
      <w:pPr>
        <w:pStyle w:val="RedaliaNormal"/>
      </w:pPr>
      <w:r>
        <w:t>Les candidats sont invités à utiliser le coffre-fort électronique disponible gratuitement depuis leur compte sur https://www.marches-securises.fr/.</w:t>
      </w:r>
    </w:p>
    <w:p w14:paraId="55BD1CA7" w14:textId="77777777" w:rsidR="00E82CE3" w:rsidRDefault="00E82CE3">
      <w:pPr>
        <w:pStyle w:val="RedaliaNormal"/>
      </w:pPr>
    </w:p>
    <w:p w14:paraId="53010610" w14:textId="77777777" w:rsidR="00E82CE3" w:rsidRDefault="00793A01">
      <w:pPr>
        <w:pStyle w:val="RedaliaNormal"/>
      </w:pPr>
      <w:r>
        <w:t>De plus, conformément aux dispositions de l’article R. 2143-14 du Code de la commande publique, les candidats ne sont pas tenus de fournir au pouvoir adjudicateur les documents justificatifs et moyens de preuve qui ont déjà été transmis lors d'une précédente consultation et qui demeurent valables.</w:t>
      </w:r>
    </w:p>
    <w:p w14:paraId="69527405" w14:textId="77777777" w:rsidR="00E82CE3" w:rsidRDefault="00E82CE3">
      <w:pPr>
        <w:pStyle w:val="RedaliaNormal"/>
      </w:pPr>
    </w:p>
    <w:p w14:paraId="1B39C65A" w14:textId="77777777" w:rsidR="00E82CE3" w:rsidRDefault="00793A01">
      <w:pPr>
        <w:pStyle w:val="RedaliaNormal"/>
      </w:pPr>
      <w:r>
        <w:t>Enfin, selon les dispositions de l’article R. 2143-4 du Code de la commande publique, le pouvoir adjudicateur accepte que les candidats présentent leur candidature sous la forme d’un document unique de marché européen (DUME) établi conformément au modèle fixé par le règlement de la Commission européenne établissant le formulaire type pour le document unique de marché européen, en lieu et place de la déclaration sur l'honneur et des renseignements mentionnés à l'article R. 2143-3.</w:t>
      </w:r>
    </w:p>
    <w:p w14:paraId="127B18B4" w14:textId="77777777" w:rsidR="00E82CE3" w:rsidRDefault="00793A01">
      <w:pPr>
        <w:pStyle w:val="RedaliaNormal"/>
      </w:pPr>
      <w:r>
        <w:t xml:space="preserve">Les candidats peuvent constituer ou réutiliser un DUME dans sa version électronique via les url suivantes : </w:t>
      </w:r>
      <w:hyperlink r:id="rId11" w:history="1">
        <w:r>
          <w:rPr>
            <w:rStyle w:val="Lienhypertexte"/>
          </w:rPr>
          <w:t>https://ec.europa.eu/tools/espd/</w:t>
        </w:r>
      </w:hyperlink>
      <w:r>
        <w:t xml:space="preserve"> OU </w:t>
      </w:r>
      <w:hyperlink r:id="rId12" w:history="1">
        <w:r>
          <w:rPr>
            <w:rStyle w:val="Lienhypertexte"/>
          </w:rPr>
          <w:t>https://dume.chorus-pro.gouv.fr/</w:t>
        </w:r>
      </w:hyperlink>
    </w:p>
    <w:p w14:paraId="176F791A" w14:textId="77777777" w:rsidR="00E82CE3" w:rsidRDefault="00793A01">
      <w:pPr>
        <w:pStyle w:val="RedaliaNormal"/>
      </w:pPr>
      <w:r>
        <w:t>Il est précisé que le pouvoir adjudicateur n’autorise pas les candidats à se limiter à indiquer dans le document unique de marché européen qu’ils disposent de l’aptitude et des capacités requises sans fournir d’informations particulières sur celles-ci.</w:t>
      </w:r>
    </w:p>
    <w:p w14:paraId="2A858767" w14:textId="77777777" w:rsidR="00E82CE3" w:rsidRDefault="00E82CE3">
      <w:pPr>
        <w:pStyle w:val="RedaliaNormal"/>
      </w:pPr>
    </w:p>
    <w:p w14:paraId="5FA853A8" w14:textId="77777777" w:rsidR="00E82CE3" w:rsidRDefault="00793A01">
      <w:pPr>
        <w:pStyle w:val="RedaliaTitre2"/>
      </w:pPr>
      <w:bookmarkStart w:id="39" w:name="_Toc196406046"/>
      <w:r>
        <w:t>Éléments nécessaires au choix de l’offre</w:t>
      </w:r>
      <w:bookmarkEnd w:id="39"/>
    </w:p>
    <w:p w14:paraId="579E3AAF" w14:textId="77777777" w:rsidR="00E82CE3" w:rsidRDefault="00793A01">
      <w:pPr>
        <w:pStyle w:val="RedaliaNormal"/>
      </w:pPr>
      <w:r>
        <w:t>Pour le choix de l'offre, les candidats doivent produire les documents suivants :</w:t>
      </w:r>
    </w:p>
    <w:p w14:paraId="6C3E1F91" w14:textId="7A00BB25" w:rsidR="00E82CE3" w:rsidRDefault="00793A01">
      <w:pPr>
        <w:pStyle w:val="Redaliapuces"/>
        <w:numPr>
          <w:ilvl w:val="0"/>
          <w:numId w:val="29"/>
        </w:numPr>
        <w:tabs>
          <w:tab w:val="clear" w:pos="-852"/>
          <w:tab w:val="clear" w:pos="7370"/>
          <w:tab w:val="left" w:pos="-4773"/>
          <w:tab w:val="left" w:pos="-2880"/>
          <w:tab w:val="left" w:pos="3449"/>
        </w:tabs>
      </w:pPr>
      <w:r>
        <w:rPr>
          <w:color w:val="FF0000"/>
        </w:rPr>
        <w:t xml:space="preserve">Un contrat unique </w:t>
      </w:r>
      <w:r>
        <w:rPr>
          <w:b/>
          <w:color w:val="FF0000"/>
          <w:u w:val="single"/>
        </w:rPr>
        <w:t>par lot</w:t>
      </w:r>
      <w:r>
        <w:rPr>
          <w:color w:val="FF0000"/>
        </w:rPr>
        <w:t xml:space="preserve"> </w:t>
      </w:r>
      <w:r>
        <w:t>(ci-joint à compléter, à dater et à signer électroniquement)</w:t>
      </w:r>
    </w:p>
    <w:p w14:paraId="09186452" w14:textId="77777777" w:rsidR="0066105A" w:rsidRDefault="0066105A" w:rsidP="00840595">
      <w:pPr>
        <w:pStyle w:val="Redaliapuces"/>
        <w:numPr>
          <w:ilvl w:val="0"/>
          <w:numId w:val="0"/>
        </w:numPr>
        <w:tabs>
          <w:tab w:val="clear" w:pos="-852"/>
          <w:tab w:val="clear" w:pos="7370"/>
          <w:tab w:val="left" w:pos="-4773"/>
          <w:tab w:val="left" w:pos="-2880"/>
          <w:tab w:val="left" w:pos="3449"/>
        </w:tabs>
        <w:ind w:left="1080"/>
      </w:pPr>
    </w:p>
    <w:p w14:paraId="264DEF45" w14:textId="77777777" w:rsidR="00E82CE3" w:rsidRDefault="00793A01" w:rsidP="005319BD">
      <w:pPr>
        <w:pStyle w:val="Redaliapuces"/>
        <w:numPr>
          <w:ilvl w:val="0"/>
          <w:numId w:val="0"/>
        </w:numPr>
        <w:tabs>
          <w:tab w:val="clear" w:pos="-852"/>
          <w:tab w:val="clear" w:pos="7370"/>
          <w:tab w:val="left" w:leader="dot" w:pos="8505"/>
          <w:tab w:val="left" w:pos="8732"/>
        </w:tabs>
      </w:pPr>
      <w:r>
        <w:t>Le candidat précisera également la nature et le montant des prestations qu’il envisage de sous-traiter ainsi que la liste des sous-traitants qu'il se propose de présenter à l'agrément et à l'acceptation du pouvoir adjudicateur.</w:t>
      </w:r>
    </w:p>
    <w:p w14:paraId="16E0EBA2" w14:textId="77777777" w:rsidR="00E82CE3" w:rsidRDefault="00E82CE3">
      <w:pPr>
        <w:pStyle w:val="RedaliaNormal"/>
      </w:pPr>
    </w:p>
    <w:p w14:paraId="2EBBEEEA" w14:textId="567E975B" w:rsidR="00840595" w:rsidRDefault="00840595" w:rsidP="00840595">
      <w:pPr>
        <w:pStyle w:val="RedaliaNormal"/>
        <w:numPr>
          <w:ilvl w:val="0"/>
          <w:numId w:val="29"/>
        </w:numPr>
      </w:pPr>
      <w:r>
        <w:lastRenderedPageBreak/>
        <w:t xml:space="preserve">Pour le lot n°01 : Le </w:t>
      </w:r>
      <w:r w:rsidRPr="007C1D1D">
        <w:rPr>
          <w:b/>
        </w:rPr>
        <w:t>Bordereau des prix unitaires</w:t>
      </w:r>
      <w:r>
        <w:t xml:space="preserve"> (BPU-B</w:t>
      </w:r>
      <w:r w:rsidR="009D10BF">
        <w:t xml:space="preserve">on </w:t>
      </w:r>
      <w:r>
        <w:t>D</w:t>
      </w:r>
      <w:r w:rsidR="009D10BF">
        <w:t xml:space="preserve">e </w:t>
      </w:r>
      <w:r>
        <w:t>C</w:t>
      </w:r>
      <w:r w:rsidR="009D10BF">
        <w:t>ommande</w:t>
      </w:r>
      <w:r>
        <w:t xml:space="preserve"> et BPU-M</w:t>
      </w:r>
      <w:r w:rsidR="009D10BF">
        <w:t xml:space="preserve">archés </w:t>
      </w:r>
      <w:r>
        <w:t>S</w:t>
      </w:r>
      <w:r w:rsidR="009D10BF">
        <w:t>ubséquents</w:t>
      </w:r>
      <w:r>
        <w:t xml:space="preserve">, le </w:t>
      </w:r>
      <w:r w:rsidRPr="007C1D1D">
        <w:rPr>
          <w:b/>
        </w:rPr>
        <w:t xml:space="preserve">détail </w:t>
      </w:r>
      <w:r>
        <w:rPr>
          <w:b/>
        </w:rPr>
        <w:t xml:space="preserve">quantitatif </w:t>
      </w:r>
      <w:r w:rsidRPr="007C1D1D">
        <w:rPr>
          <w:b/>
        </w:rPr>
        <w:t>estimatif</w:t>
      </w:r>
      <w:r>
        <w:t xml:space="preserve"> (DQE-</w:t>
      </w:r>
      <w:r w:rsidR="009D10BF" w:rsidRPr="009D10BF">
        <w:t xml:space="preserve"> </w:t>
      </w:r>
      <w:r w:rsidR="009D10BF">
        <w:t xml:space="preserve">Bon De Commande </w:t>
      </w:r>
      <w:r>
        <w:t>et DQE-</w:t>
      </w:r>
      <w:r w:rsidR="009D10BF" w:rsidRPr="009D10BF">
        <w:t xml:space="preserve"> </w:t>
      </w:r>
      <w:r w:rsidR="009D10BF">
        <w:t>Marchés Subséquents</w:t>
      </w:r>
      <w:r>
        <w:t xml:space="preserve">) pour les Marchés Subséquents (taux plafond) et pour les Bons de Commandes </w:t>
      </w:r>
      <w:r>
        <w:rPr>
          <w:color w:val="FF0000"/>
        </w:rPr>
        <w:t xml:space="preserve">dûment complétée </w:t>
      </w:r>
      <w:r>
        <w:t xml:space="preserve">- en version </w:t>
      </w:r>
      <w:proofErr w:type="spellStart"/>
      <w:r>
        <w:t>pdf</w:t>
      </w:r>
      <w:proofErr w:type="spellEnd"/>
      <w:r>
        <w:t xml:space="preserve"> et </w:t>
      </w:r>
      <w:r>
        <w:rPr>
          <w:color w:val="FF0000"/>
        </w:rPr>
        <w:t>Excel obligatoirement</w:t>
      </w:r>
      <w:r>
        <w:t xml:space="preserve"> – tous les onglets et lignes doivent être renseignés à défaut l’offre pourra être jugée irrégulière.</w:t>
      </w:r>
    </w:p>
    <w:p w14:paraId="7AC94F76" w14:textId="77777777" w:rsidR="00840595" w:rsidRDefault="00840595" w:rsidP="00840595">
      <w:pPr>
        <w:pStyle w:val="RedaliaNormal"/>
      </w:pPr>
    </w:p>
    <w:p w14:paraId="17FA5483" w14:textId="37AFCC6E" w:rsidR="00840595" w:rsidRDefault="00840595" w:rsidP="00840595">
      <w:pPr>
        <w:pStyle w:val="RedaliaNormal"/>
        <w:numPr>
          <w:ilvl w:val="0"/>
          <w:numId w:val="29"/>
        </w:numPr>
      </w:pPr>
      <w:r>
        <w:t xml:space="preserve">Pour le lot n°02 : </w:t>
      </w:r>
      <w:r w:rsidR="009D10BF">
        <w:t xml:space="preserve">Le </w:t>
      </w:r>
      <w:r w:rsidR="009D10BF" w:rsidRPr="007C1D1D">
        <w:rPr>
          <w:b/>
        </w:rPr>
        <w:t>Bordereau des prix unitaires</w:t>
      </w:r>
      <w:r w:rsidR="009D10BF">
        <w:t xml:space="preserve"> (BPU-Bon De Commande et BPU-Marchés Subséquents, le </w:t>
      </w:r>
      <w:r w:rsidR="009D10BF" w:rsidRPr="007C1D1D">
        <w:rPr>
          <w:b/>
        </w:rPr>
        <w:t xml:space="preserve">détail </w:t>
      </w:r>
      <w:r w:rsidR="009D10BF">
        <w:rPr>
          <w:b/>
        </w:rPr>
        <w:t xml:space="preserve">quantitatif </w:t>
      </w:r>
      <w:r w:rsidR="009D10BF" w:rsidRPr="007C1D1D">
        <w:rPr>
          <w:b/>
        </w:rPr>
        <w:t>estimatif</w:t>
      </w:r>
      <w:r w:rsidR="009D10BF">
        <w:t xml:space="preserve"> (DQE-</w:t>
      </w:r>
      <w:r w:rsidR="009D10BF" w:rsidRPr="009D10BF">
        <w:t xml:space="preserve"> </w:t>
      </w:r>
      <w:r w:rsidR="009D10BF">
        <w:t>Bon De Commande et DQE-</w:t>
      </w:r>
      <w:r w:rsidR="009D10BF" w:rsidRPr="009D10BF">
        <w:t xml:space="preserve"> </w:t>
      </w:r>
      <w:r w:rsidR="009D10BF">
        <w:t xml:space="preserve">Marchés Subséquents) pour les Marchés Subséquents (taux plafond) et pour les Bons de Commandes </w:t>
      </w:r>
      <w:r w:rsidR="009D10BF">
        <w:rPr>
          <w:color w:val="FF0000"/>
        </w:rPr>
        <w:t xml:space="preserve">dûment complétée </w:t>
      </w:r>
      <w:r w:rsidR="009D10BF">
        <w:t xml:space="preserve">- en version </w:t>
      </w:r>
      <w:proofErr w:type="spellStart"/>
      <w:r w:rsidR="009D10BF">
        <w:t>pdf</w:t>
      </w:r>
      <w:proofErr w:type="spellEnd"/>
      <w:r w:rsidR="009D10BF">
        <w:t xml:space="preserve"> et </w:t>
      </w:r>
      <w:r w:rsidR="009D10BF">
        <w:rPr>
          <w:color w:val="FF0000"/>
        </w:rPr>
        <w:t>Excel obligatoirement</w:t>
      </w:r>
      <w:r w:rsidR="009D10BF">
        <w:t xml:space="preserve"> – tous les onglets et lignes doivent être renseignés à défaut l’offre pourra être jugée irrégulière</w:t>
      </w:r>
      <w:r>
        <w:t>.</w:t>
      </w:r>
    </w:p>
    <w:p w14:paraId="240A438D" w14:textId="32D54292" w:rsidR="00E82CE3" w:rsidRDefault="00E82CE3">
      <w:pPr>
        <w:pStyle w:val="RedaliaNormal"/>
      </w:pPr>
    </w:p>
    <w:p w14:paraId="6D623CF9" w14:textId="56B7FF6A" w:rsidR="007E5FBD" w:rsidRDefault="007E5FBD" w:rsidP="007E5FBD">
      <w:pPr>
        <w:pStyle w:val="RedaliaNormal"/>
      </w:pPr>
      <w:r>
        <w:t xml:space="preserve">Les quantités indiquées dans les DQE </w:t>
      </w:r>
      <w:r w:rsidRPr="0066105A">
        <w:t xml:space="preserve">sont données </w:t>
      </w:r>
      <w:r w:rsidRPr="00BE5D01">
        <w:rPr>
          <w:u w:val="single"/>
        </w:rPr>
        <w:t xml:space="preserve">à titre indicatif </w:t>
      </w:r>
      <w:r w:rsidRPr="0066105A">
        <w:t>et ne sont pas engageantes pour l'AFD.</w:t>
      </w:r>
      <w:r>
        <w:t xml:space="preserve"> Les montants</w:t>
      </w:r>
      <w:r w:rsidRPr="007E5FBD">
        <w:t xml:space="preserve"> estimatif</w:t>
      </w:r>
      <w:r>
        <w:t xml:space="preserve">s </w:t>
      </w:r>
      <w:r w:rsidR="00BE5D01">
        <w:t xml:space="preserve">de la synthèse </w:t>
      </w:r>
      <w:r>
        <w:t>seront</w:t>
      </w:r>
      <w:r w:rsidRPr="007E5FBD">
        <w:t xml:space="preserve"> pris en compte pour la comparaison et le classement des offres</w:t>
      </w:r>
      <w:r>
        <w:t>.</w:t>
      </w:r>
    </w:p>
    <w:p w14:paraId="4DD098B4" w14:textId="77777777" w:rsidR="007E5FBD" w:rsidRDefault="007E5FBD">
      <w:pPr>
        <w:pStyle w:val="RedaliaNormal"/>
      </w:pPr>
    </w:p>
    <w:p w14:paraId="69F656C6" w14:textId="77777777" w:rsidR="00FB1D2E" w:rsidRDefault="00FB1D2E" w:rsidP="00FB1D2E">
      <w:pPr>
        <w:pStyle w:val="Redaliapuces"/>
        <w:numPr>
          <w:ilvl w:val="0"/>
          <w:numId w:val="29"/>
        </w:numPr>
        <w:tabs>
          <w:tab w:val="clear" w:pos="-852"/>
          <w:tab w:val="clear" w:pos="7370"/>
          <w:tab w:val="left" w:pos="-8915"/>
          <w:tab w:val="left" w:pos="-693"/>
        </w:tabs>
      </w:pPr>
      <w:r w:rsidRPr="007C1D1D">
        <w:rPr>
          <w:b/>
        </w:rPr>
        <w:t>Une note méthodologique ou un mémoire technique</w:t>
      </w:r>
      <w:r>
        <w:t xml:space="preserve"> rédigé sur la base du canevas présenté dans l’annexe « Cadre de réponse imposé » au présent Règlement de la Consultation, respectant le nombre de pages indiqué.</w:t>
      </w:r>
    </w:p>
    <w:p w14:paraId="2A6BD7C7" w14:textId="77777777" w:rsidR="00FB1D2E" w:rsidRDefault="00FB1D2E" w:rsidP="00FB1D2E">
      <w:pPr>
        <w:pStyle w:val="Redaliapuces"/>
        <w:numPr>
          <w:ilvl w:val="0"/>
          <w:numId w:val="0"/>
        </w:numPr>
        <w:tabs>
          <w:tab w:val="clear" w:pos="-852"/>
          <w:tab w:val="clear" w:pos="7370"/>
          <w:tab w:val="left" w:pos="-8915"/>
          <w:tab w:val="left" w:pos="-693"/>
        </w:tabs>
        <w:ind w:left="1080"/>
      </w:pPr>
    </w:p>
    <w:p w14:paraId="0641ABB6" w14:textId="77777777" w:rsidR="00FB1D2E" w:rsidRDefault="00FB1D2E" w:rsidP="00FB1D2E">
      <w:pPr>
        <w:pStyle w:val="Redaliapuces"/>
        <w:numPr>
          <w:ilvl w:val="0"/>
          <w:numId w:val="29"/>
        </w:numPr>
        <w:tabs>
          <w:tab w:val="clear" w:pos="-852"/>
          <w:tab w:val="clear" w:pos="7370"/>
          <w:tab w:val="left" w:pos="-8915"/>
          <w:tab w:val="left" w:pos="-693"/>
        </w:tabs>
      </w:pPr>
      <w:r w:rsidRPr="007C1D1D">
        <w:rPr>
          <w:b/>
        </w:rPr>
        <w:t>Une note RSE</w:t>
      </w:r>
      <w:r>
        <w:t xml:space="preserve"> dont les éléments attendus sont indiqués en annexe du règlement de la consultation</w:t>
      </w:r>
    </w:p>
    <w:p w14:paraId="4E3B7309" w14:textId="77777777" w:rsidR="00E82CE3" w:rsidRDefault="00E82CE3">
      <w:pPr>
        <w:pStyle w:val="RedaliaNormal"/>
      </w:pPr>
    </w:p>
    <w:p w14:paraId="59B90A4B" w14:textId="77777777" w:rsidR="00E82CE3" w:rsidRDefault="00793A01">
      <w:pPr>
        <w:pStyle w:val="RedaliaNormal"/>
      </w:pPr>
      <w:r>
        <w:t>Seuls les documents détenus par le pouvoir adjudicateur font foi.</w:t>
      </w:r>
    </w:p>
    <w:p w14:paraId="2ACCB9E9" w14:textId="00BD5C9A" w:rsidR="00E82CE3" w:rsidRDefault="00793A01">
      <w:pPr>
        <w:pStyle w:val="RedaliaNormal"/>
      </w:pPr>
      <w:r>
        <w:t>Il est rappelé aux candidats que la signature du contrat vaut acceptation de toutes les pièces contractuelles</w:t>
      </w:r>
      <w:r w:rsidR="005319BD">
        <w:t xml:space="preserve">. Les </w:t>
      </w:r>
      <w:r w:rsidR="00570E1A">
        <w:t>réserves</w:t>
      </w:r>
      <w:r w:rsidR="005319BD">
        <w:t xml:space="preserve"> des clauses contractuelles</w:t>
      </w:r>
      <w:r w:rsidR="00570E1A">
        <w:t xml:space="preserve"> faites</w:t>
      </w:r>
      <w:r w:rsidR="005319BD">
        <w:t xml:space="preserve"> </w:t>
      </w:r>
      <w:r w:rsidR="00570E1A">
        <w:t xml:space="preserve">par les soumissionnaires sont </w:t>
      </w:r>
      <w:r w:rsidR="00570E1A" w:rsidRPr="006347B0">
        <w:rPr>
          <w:b/>
          <w:u w:val="single"/>
        </w:rPr>
        <w:t>interdites</w:t>
      </w:r>
      <w:r w:rsidR="00570E1A">
        <w:t xml:space="preserve"> sous peine d’irrégularité de l’offre.</w:t>
      </w:r>
    </w:p>
    <w:p w14:paraId="0B04F13F" w14:textId="09A1F241" w:rsidR="00E82CE3" w:rsidRDefault="00E82CE3">
      <w:pPr>
        <w:pStyle w:val="RedaliaNormal"/>
      </w:pPr>
    </w:p>
    <w:p w14:paraId="24CBF630" w14:textId="77777777" w:rsidR="00FB1D2E" w:rsidRDefault="00FB1D2E" w:rsidP="00FB1D2E">
      <w:pPr>
        <w:pStyle w:val="RedaliaNormal"/>
      </w:pPr>
      <w:r>
        <w:t>Il est rappelé aux candidats que la signature du contrat vaut acceptation de toutes les pièces contractuelles.</w:t>
      </w:r>
    </w:p>
    <w:p w14:paraId="24D76309" w14:textId="77777777" w:rsidR="00FB1D2E" w:rsidRDefault="00FB1D2E">
      <w:pPr>
        <w:pStyle w:val="RedaliaNormal"/>
      </w:pPr>
    </w:p>
    <w:p w14:paraId="562F7B42" w14:textId="77777777" w:rsidR="00E82CE3" w:rsidRDefault="00793A01">
      <w:pPr>
        <w:pStyle w:val="RedaliaTitre1"/>
      </w:pPr>
      <w:bookmarkStart w:id="40" w:name="_Toc79070501"/>
      <w:bookmarkStart w:id="41" w:name="_Toc196406047"/>
      <w:r>
        <w:t>Jugement des candidatures, des offres et attribution de l’accord-cadre</w:t>
      </w:r>
      <w:bookmarkEnd w:id="40"/>
      <w:bookmarkEnd w:id="41"/>
    </w:p>
    <w:p w14:paraId="769884B7" w14:textId="77777777" w:rsidR="00E82CE3" w:rsidRDefault="00793A01">
      <w:pPr>
        <w:pStyle w:val="RedaliaTitre2"/>
      </w:pPr>
      <w:bookmarkStart w:id="42" w:name="__RefHeading___Toc14480_1881649383"/>
      <w:bookmarkStart w:id="43" w:name="_Toc168382990"/>
      <w:bookmarkStart w:id="44" w:name="_Toc168399423"/>
      <w:bookmarkStart w:id="45" w:name="_Toc169013465"/>
      <w:bookmarkStart w:id="46" w:name="_Toc169014579"/>
      <w:bookmarkStart w:id="47" w:name="_Toc196406048"/>
      <w:bookmarkStart w:id="48" w:name="_Toc170898457"/>
      <w:r>
        <w:t>Jugement des candidatures</w:t>
      </w:r>
      <w:bookmarkEnd w:id="42"/>
      <w:bookmarkEnd w:id="43"/>
      <w:bookmarkEnd w:id="44"/>
      <w:bookmarkEnd w:id="45"/>
      <w:bookmarkEnd w:id="46"/>
      <w:bookmarkEnd w:id="47"/>
    </w:p>
    <w:p w14:paraId="54285657" w14:textId="77777777" w:rsidR="00E82CE3" w:rsidRDefault="00793A01">
      <w:pPr>
        <w:pStyle w:val="RedaliaNormal"/>
      </w:pPr>
      <w:r>
        <w:t>Les critères intervenant pour la recevabilité des candidatures sont :</w:t>
      </w:r>
    </w:p>
    <w:tbl>
      <w:tblPr>
        <w:tblW w:w="10174" w:type="dxa"/>
        <w:tblInd w:w="169" w:type="dxa"/>
        <w:tblCellMar>
          <w:left w:w="10" w:type="dxa"/>
          <w:right w:w="10" w:type="dxa"/>
        </w:tblCellMar>
        <w:tblLook w:val="0000" w:firstRow="0" w:lastRow="0" w:firstColumn="0" w:lastColumn="0" w:noHBand="0" w:noVBand="0"/>
      </w:tblPr>
      <w:tblGrid>
        <w:gridCol w:w="8757"/>
        <w:gridCol w:w="1417"/>
      </w:tblGrid>
      <w:tr w:rsidR="00E82CE3" w14:paraId="5A29DDD9" w14:textId="77777777" w:rsidTr="000C508F">
        <w:trPr>
          <w:trHeight w:val="393"/>
        </w:trPr>
        <w:tc>
          <w:tcPr>
            <w:tcW w:w="87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88743C" w14:textId="492FD66D" w:rsidR="00E82CE3" w:rsidRPr="000C508F" w:rsidRDefault="0081768D">
            <w:pPr>
              <w:pStyle w:val="Corpsdetexte"/>
              <w:textAlignment w:val="auto"/>
              <w:rPr>
                <w:b/>
              </w:rPr>
            </w:pPr>
            <w:r w:rsidRPr="000C508F">
              <w:rPr>
                <w:b/>
              </w:rPr>
              <w:t>CRITERES POUR LES 2 LOTS</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E004EE" w14:textId="77777777" w:rsidR="00E82CE3" w:rsidRDefault="00793A01">
            <w:pPr>
              <w:pStyle w:val="Corpsdetexte"/>
              <w:textAlignment w:val="auto"/>
              <w:rPr>
                <w:rFonts w:ascii="Century Gothic" w:hAnsi="Century Gothic" w:cs="Calibri"/>
                <w:b/>
                <w:sz w:val="20"/>
                <w:szCs w:val="22"/>
                <w:lang w:eastAsia="en-US"/>
              </w:rPr>
            </w:pPr>
            <w:r>
              <w:rPr>
                <w:rFonts w:ascii="Century Gothic" w:hAnsi="Century Gothic" w:cs="Calibri"/>
                <w:b/>
                <w:sz w:val="20"/>
                <w:szCs w:val="22"/>
                <w:lang w:eastAsia="en-US"/>
              </w:rPr>
              <w:t>Pondération</w:t>
            </w:r>
          </w:p>
        </w:tc>
      </w:tr>
      <w:tr w:rsidR="00E82CE3" w14:paraId="24E31E51" w14:textId="77777777" w:rsidTr="000C508F">
        <w:tc>
          <w:tcPr>
            <w:tcW w:w="87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0C14D" w14:textId="77777777" w:rsidR="00E82CE3" w:rsidRDefault="00793A01">
            <w:pPr>
              <w:pStyle w:val="Corpsdetexte"/>
              <w:textAlignment w:val="auto"/>
              <w:rPr>
                <w:b/>
                <w:sz w:val="24"/>
                <w:szCs w:val="24"/>
                <w:u w:val="single"/>
                <w:lang w:eastAsia="en-US"/>
              </w:rPr>
            </w:pPr>
            <w:r>
              <w:rPr>
                <w:b/>
                <w:sz w:val="24"/>
                <w:szCs w:val="24"/>
                <w:u w:val="single"/>
                <w:lang w:eastAsia="en-US"/>
              </w:rPr>
              <w:t>Critère 1 – Capacité technique :</w:t>
            </w:r>
          </w:p>
          <w:p w14:paraId="507456ED" w14:textId="77777777" w:rsidR="00E82CE3" w:rsidRPr="000C508F" w:rsidRDefault="00793A01" w:rsidP="000C508F">
            <w:pPr>
              <w:pStyle w:val="RedaliaNormal"/>
              <w:textAlignment w:val="auto"/>
              <w:rPr>
                <w:szCs w:val="22"/>
                <w:lang w:eastAsia="en-US"/>
              </w:rPr>
            </w:pPr>
            <w:r w:rsidRPr="000C508F">
              <w:rPr>
                <w:szCs w:val="22"/>
                <w:lang w:eastAsia="en-US"/>
              </w:rPr>
              <w:t xml:space="preserve">Qualité et pertinence des moyens humains ayant la capacité de mettre en œuvre les prestations en lien avec les secteurs d’activité de l’Accord Cadre </w:t>
            </w:r>
          </w:p>
          <w:p w14:paraId="1A37A588" w14:textId="77777777" w:rsidR="00E82CE3" w:rsidRDefault="00793A01" w:rsidP="000C508F">
            <w:pPr>
              <w:pStyle w:val="RedaliaNormal"/>
              <w:textAlignment w:val="auto"/>
            </w:pPr>
            <w:proofErr w:type="spellStart"/>
            <w:r w:rsidRPr="000C508F">
              <w:rPr>
                <w:szCs w:val="22"/>
                <w:lang w:eastAsia="en-US"/>
              </w:rPr>
              <w:t>Cf</w:t>
            </w:r>
            <w:proofErr w:type="spellEnd"/>
            <w:r w:rsidRPr="000C508F">
              <w:rPr>
                <w:szCs w:val="22"/>
                <w:lang w:eastAsia="en-US"/>
              </w:rPr>
              <w:t xml:space="preserve"> Formulaire de candidature</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6074E" w14:textId="77777777" w:rsidR="00E82CE3" w:rsidRDefault="00793A01">
            <w:pPr>
              <w:pStyle w:val="Corpsdetexte"/>
              <w:textAlignment w:val="auto"/>
            </w:pPr>
            <w:r>
              <w:rPr>
                <w:rFonts w:ascii="Century Gothic" w:hAnsi="Century Gothic" w:cs="Calibri"/>
                <w:b/>
                <w:sz w:val="20"/>
                <w:szCs w:val="22"/>
                <w:lang w:eastAsia="en-US"/>
              </w:rPr>
              <w:t>50</w:t>
            </w:r>
          </w:p>
        </w:tc>
      </w:tr>
      <w:tr w:rsidR="00E82CE3" w14:paraId="19757E41" w14:textId="77777777" w:rsidTr="000C508F">
        <w:tc>
          <w:tcPr>
            <w:tcW w:w="87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EE13E" w14:textId="77777777" w:rsidR="00E82CE3" w:rsidRDefault="00793A01">
            <w:pPr>
              <w:pStyle w:val="Corpsdetexte"/>
              <w:textAlignment w:val="auto"/>
            </w:pPr>
            <w:r>
              <w:rPr>
                <w:b/>
                <w:sz w:val="24"/>
                <w:szCs w:val="24"/>
                <w:u w:val="single"/>
                <w:lang w:eastAsia="en-US"/>
              </w:rPr>
              <w:t xml:space="preserve">Critère 2 - Capacité professionnelle : </w:t>
            </w:r>
          </w:p>
          <w:p w14:paraId="2DE3DCDE" w14:textId="77777777" w:rsidR="00E82CE3" w:rsidRDefault="00793A01">
            <w:pPr>
              <w:pStyle w:val="RedaliaNormal"/>
              <w:textAlignment w:val="auto"/>
            </w:pPr>
            <w:r>
              <w:rPr>
                <w:szCs w:val="22"/>
                <w:lang w:eastAsia="en-US"/>
              </w:rPr>
              <w:t>Qualité et pertinence des références du candidat dans le cadre d’activités similaires</w:t>
            </w:r>
            <w:r>
              <w:rPr>
                <w:sz w:val="20"/>
                <w:szCs w:val="22"/>
                <w:lang w:eastAsia="en-US"/>
              </w:rPr>
              <w:t> </w:t>
            </w:r>
          </w:p>
          <w:p w14:paraId="199D0638" w14:textId="77777777" w:rsidR="00E82CE3" w:rsidRDefault="00793A01">
            <w:pPr>
              <w:pStyle w:val="RedaliaNormal"/>
              <w:textAlignment w:val="auto"/>
              <w:rPr>
                <w:szCs w:val="22"/>
                <w:lang w:eastAsia="en-US"/>
              </w:rPr>
            </w:pPr>
            <w:proofErr w:type="spellStart"/>
            <w:r>
              <w:rPr>
                <w:szCs w:val="22"/>
                <w:lang w:eastAsia="en-US"/>
              </w:rPr>
              <w:t>Cf</w:t>
            </w:r>
            <w:proofErr w:type="spellEnd"/>
            <w:r>
              <w:rPr>
                <w:szCs w:val="22"/>
                <w:lang w:eastAsia="en-US"/>
              </w:rPr>
              <w:t xml:space="preserve"> Formulaire de candidature</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45674" w14:textId="77777777" w:rsidR="00E82CE3" w:rsidRDefault="00793A01">
            <w:pPr>
              <w:pStyle w:val="Corpsdetexte"/>
              <w:textAlignment w:val="auto"/>
              <w:rPr>
                <w:rFonts w:ascii="Century Gothic" w:hAnsi="Century Gothic" w:cs="Calibri"/>
                <w:b/>
                <w:sz w:val="20"/>
                <w:szCs w:val="22"/>
                <w:lang w:eastAsia="en-US"/>
              </w:rPr>
            </w:pPr>
            <w:r>
              <w:rPr>
                <w:rFonts w:ascii="Century Gothic" w:hAnsi="Century Gothic" w:cs="Calibri"/>
                <w:b/>
                <w:sz w:val="20"/>
                <w:szCs w:val="22"/>
                <w:lang w:eastAsia="en-US"/>
              </w:rPr>
              <w:t>50</w:t>
            </w:r>
          </w:p>
        </w:tc>
      </w:tr>
    </w:tbl>
    <w:p w14:paraId="051235B8" w14:textId="77777777" w:rsidR="00E82CE3" w:rsidRDefault="00793A01">
      <w:pPr>
        <w:pStyle w:val="RedaliaNormal"/>
        <w:rPr>
          <w:b/>
        </w:rPr>
      </w:pPr>
      <w:r>
        <w:rPr>
          <w:b/>
        </w:rPr>
        <w:t xml:space="preserve">Niveaux minimums de capacité exigés : </w:t>
      </w:r>
    </w:p>
    <w:p w14:paraId="26A39110" w14:textId="77777777" w:rsidR="00E82CE3" w:rsidRDefault="00793A01">
      <w:pPr>
        <w:pStyle w:val="RedaliaNormal"/>
      </w:pPr>
      <w:r>
        <w:t xml:space="preserve">Sont déclarées comme irrecevables les candidatures :ne présentant pas des garanties financières, </w:t>
      </w:r>
      <w:r>
        <w:lastRenderedPageBreak/>
        <w:t>techniques et professionnelles suffisantes au regard de l’objet de la prestation :</w:t>
      </w:r>
    </w:p>
    <w:p w14:paraId="6C00D5A5" w14:textId="77777777" w:rsidR="00E82CE3" w:rsidRDefault="00793A01">
      <w:pPr>
        <w:pStyle w:val="RedaliaNormal"/>
        <w:numPr>
          <w:ilvl w:val="0"/>
          <w:numId w:val="32"/>
        </w:numPr>
      </w:pPr>
      <w:r>
        <w:t xml:space="preserve">Chiffre d’affaire &lt; 3M€ </w:t>
      </w:r>
    </w:p>
    <w:p w14:paraId="77111C0A" w14:textId="77777777" w:rsidR="00E82CE3" w:rsidRDefault="00793A01">
      <w:pPr>
        <w:pStyle w:val="RedaliaNormal"/>
        <w:ind w:left="720"/>
      </w:pPr>
      <w:proofErr w:type="gramStart"/>
      <w:r>
        <w:t>Ou</w:t>
      </w:r>
      <w:proofErr w:type="gramEnd"/>
    </w:p>
    <w:p w14:paraId="666DAAA2" w14:textId="0FFCAA6C" w:rsidR="00E82CE3" w:rsidRDefault="00793A01">
      <w:pPr>
        <w:pStyle w:val="RedaliaNormal"/>
        <w:numPr>
          <w:ilvl w:val="0"/>
          <w:numId w:val="32"/>
        </w:numPr>
      </w:pPr>
      <w:r>
        <w:t>Nombre de salariés &lt; 2</w:t>
      </w:r>
      <w:r w:rsidR="003B2B8B">
        <w:t>0</w:t>
      </w:r>
      <w:r>
        <w:t xml:space="preserve"> personnes</w:t>
      </w:r>
    </w:p>
    <w:p w14:paraId="6B22B711" w14:textId="77777777" w:rsidR="004120C3" w:rsidRDefault="004120C3" w:rsidP="004120C3">
      <w:pPr>
        <w:pStyle w:val="RedaliaNormal"/>
        <w:ind w:left="720"/>
      </w:pPr>
    </w:p>
    <w:p w14:paraId="3813B785" w14:textId="77777777" w:rsidR="00E82CE3" w:rsidRDefault="00793A01">
      <w:pPr>
        <w:rPr>
          <w:b/>
          <w:bCs/>
          <w:u w:val="single"/>
        </w:rPr>
      </w:pPr>
      <w:r>
        <w:rPr>
          <w:b/>
          <w:bCs/>
          <w:u w:val="single"/>
        </w:rPr>
        <w:t>Valeur minimale et nombre de sociétés :</w:t>
      </w:r>
    </w:p>
    <w:p w14:paraId="67742D6D" w14:textId="7534E4EE" w:rsidR="00E82CE3" w:rsidRDefault="00793A01">
      <w:pPr>
        <w:pStyle w:val="RedaliaNormal"/>
      </w:pPr>
      <w:r>
        <w:t xml:space="preserve">A l’issue de la phase candidature, </w:t>
      </w:r>
      <w:r w:rsidR="000C508F" w:rsidRPr="000C508F">
        <w:rPr>
          <w:b/>
        </w:rPr>
        <w:t>12</w:t>
      </w:r>
      <w:r w:rsidRPr="000C508F">
        <w:rPr>
          <w:b/>
        </w:rPr>
        <w:t xml:space="preserve"> </w:t>
      </w:r>
      <w:r>
        <w:t xml:space="preserve">candidats maximum par lot seront retenus pour la phase offre, sous réserve de l’obtention d’une note minimale de </w:t>
      </w:r>
      <w:r>
        <w:rPr>
          <w:b/>
          <w:color w:val="FF0000"/>
        </w:rPr>
        <w:t>70 sur 100</w:t>
      </w:r>
      <w:r>
        <w:rPr>
          <w:color w:val="FF0000"/>
        </w:rPr>
        <w:t xml:space="preserve"> </w:t>
      </w:r>
      <w:r>
        <w:t>points sur les critères intervenant pour la recevabilité des candidatures.</w:t>
      </w:r>
    </w:p>
    <w:p w14:paraId="6EFF8CB4" w14:textId="77777777" w:rsidR="00E82CE3" w:rsidRDefault="00E82CE3">
      <w:pPr>
        <w:pStyle w:val="RedaliaNormal"/>
      </w:pPr>
    </w:p>
    <w:p w14:paraId="5CC5DAFD" w14:textId="1281E459" w:rsidR="00E82CE3" w:rsidRDefault="00793A01">
      <w:pPr>
        <w:pStyle w:val="RedaliaNormal"/>
      </w:pPr>
      <w:r>
        <w:t>Sont déclarées comme</w:t>
      </w:r>
      <w:r w:rsidR="006C0847">
        <w:t xml:space="preserve"> irrecevables les candidatures </w:t>
      </w:r>
      <w:r>
        <w:t>ne présentant pas des garanties financières, techniques et professionnelles suffisantes au regard de l’objet de la prestation.</w:t>
      </w:r>
    </w:p>
    <w:p w14:paraId="2D6EF0A8" w14:textId="77777777" w:rsidR="00E82CE3" w:rsidRDefault="00793A01">
      <w:pPr>
        <w:pStyle w:val="RedaliaTitre2"/>
      </w:pPr>
      <w:bookmarkStart w:id="49" w:name="_Toc196406049"/>
      <w:r>
        <w:t>Jugement des offres</w:t>
      </w:r>
      <w:bookmarkEnd w:id="48"/>
      <w:bookmarkEnd w:id="49"/>
    </w:p>
    <w:p w14:paraId="3CEE200F" w14:textId="77777777" w:rsidR="00E82CE3" w:rsidRDefault="00793A01">
      <w:pPr>
        <w:pStyle w:val="RedaliaNormal"/>
      </w:pPr>
      <w:r>
        <w:t>Les critères intervenant pour le jugement des offres sont pondérés de la manière suivante :</w:t>
      </w:r>
    </w:p>
    <w:tbl>
      <w:tblPr>
        <w:tblW w:w="9628" w:type="dxa"/>
        <w:tblCellMar>
          <w:left w:w="10" w:type="dxa"/>
          <w:right w:w="10" w:type="dxa"/>
        </w:tblCellMar>
        <w:tblLook w:val="0000" w:firstRow="0" w:lastRow="0" w:firstColumn="0" w:lastColumn="0" w:noHBand="0" w:noVBand="0"/>
      </w:tblPr>
      <w:tblGrid>
        <w:gridCol w:w="8500"/>
        <w:gridCol w:w="1128"/>
      </w:tblGrid>
      <w:tr w:rsidR="00DA0DB5" w14:paraId="25AEA5B7" w14:textId="77777777" w:rsidTr="0066105A">
        <w:tc>
          <w:tcPr>
            <w:tcW w:w="8500" w:type="dxa"/>
            <w:tcBorders>
              <w:top w:val="single" w:sz="4" w:space="0" w:color="000000"/>
              <w:left w:val="single" w:sz="4" w:space="0" w:color="000000"/>
              <w:bottom w:val="single" w:sz="4" w:space="0" w:color="000000"/>
              <w:right w:val="single" w:sz="4" w:space="0" w:color="000000"/>
            </w:tcBorders>
            <w:shd w:val="clear" w:color="auto" w:fill="5B9BD5"/>
            <w:tcMar>
              <w:top w:w="0" w:type="dxa"/>
              <w:left w:w="108" w:type="dxa"/>
              <w:bottom w:w="0" w:type="dxa"/>
              <w:right w:w="108" w:type="dxa"/>
            </w:tcMar>
          </w:tcPr>
          <w:p w14:paraId="5BC3998E" w14:textId="24DF85E5" w:rsidR="00DA0DB5" w:rsidRDefault="00DA0DB5" w:rsidP="00DA0DB5">
            <w:pPr>
              <w:pStyle w:val="RedaliaNormal"/>
              <w:textAlignment w:val="auto"/>
              <w:rPr>
                <w:szCs w:val="22"/>
                <w:lang w:eastAsia="en-US"/>
              </w:rPr>
            </w:pPr>
            <w:r>
              <w:rPr>
                <w:szCs w:val="22"/>
                <w:lang w:eastAsia="en-US"/>
              </w:rPr>
              <w:t xml:space="preserve">Critère Prix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6C8B4" w14:textId="22D9D6A1" w:rsidR="00DA0DB5" w:rsidRDefault="00DA0DB5" w:rsidP="0066105A">
            <w:pPr>
              <w:pStyle w:val="Corpsdetexte"/>
              <w:jc w:val="center"/>
              <w:textAlignment w:val="auto"/>
              <w:rPr>
                <w:rFonts w:ascii="Century Gothic" w:hAnsi="Century Gothic" w:cs="Calibri"/>
                <w:b/>
                <w:sz w:val="20"/>
                <w:szCs w:val="22"/>
                <w:lang w:eastAsia="en-US"/>
              </w:rPr>
            </w:pPr>
          </w:p>
        </w:tc>
      </w:tr>
      <w:tr w:rsidR="00E82CE3" w14:paraId="465A6CFE" w14:textId="77777777">
        <w:tc>
          <w:tcPr>
            <w:tcW w:w="8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50BA91" w14:textId="43E7F7ED" w:rsidR="00E82CE3" w:rsidRDefault="00793A01">
            <w:pPr>
              <w:pStyle w:val="RedaliaNormal"/>
              <w:textAlignment w:val="auto"/>
              <w:rPr>
                <w:color w:val="000000"/>
                <w:szCs w:val="22"/>
              </w:rPr>
            </w:pPr>
            <w:r>
              <w:rPr>
                <w:color w:val="000000"/>
                <w:szCs w:val="22"/>
              </w:rPr>
              <w:t xml:space="preserve">Définition du critère : La note de 40 sera attribuée au candidat ayant remis l'offre financière (montant total du DQE) la moins </w:t>
            </w:r>
            <w:proofErr w:type="spellStart"/>
            <w:r>
              <w:rPr>
                <w:color w:val="000000"/>
                <w:szCs w:val="22"/>
              </w:rPr>
              <w:t>disante</w:t>
            </w:r>
            <w:proofErr w:type="spellEnd"/>
            <w:r>
              <w:rPr>
                <w:color w:val="000000"/>
                <w:szCs w:val="22"/>
              </w:rPr>
              <w:t>.</w:t>
            </w:r>
          </w:p>
          <w:p w14:paraId="01B6A777" w14:textId="6F4F8739" w:rsidR="00E82CE3" w:rsidRPr="006E01F9" w:rsidRDefault="006E01F9" w:rsidP="006E01F9">
            <w:pPr>
              <w:pStyle w:val="RedaliaNormal"/>
              <w:rPr>
                <w:rFonts w:ascii="Calibri" w:hAnsi="Calibri" w:cs="Calibri"/>
                <w:strike/>
                <w:color w:val="000000"/>
                <w:lang w:eastAsia="en-US"/>
              </w:rPr>
            </w:pPr>
            <w:r w:rsidRPr="00757DDB">
              <w:rPr>
                <w:color w:val="000000"/>
                <w:szCs w:val="22"/>
              </w:rPr>
              <w:t>Les autres candidats se verront appliquer une note calculée sur la base de la formule suivante : (Formule Ecart-type) Note sur 40 = 40-40*(10*(P-PMIN))*0,5/PMIN)</w:t>
            </w:r>
          </w:p>
        </w:tc>
        <w:tc>
          <w:tcPr>
            <w:tcW w:w="1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327CB" w14:textId="745938A2" w:rsidR="00E82CE3" w:rsidRDefault="00DA0DB5">
            <w:pPr>
              <w:pStyle w:val="Corpsdetexte"/>
              <w:jc w:val="center"/>
              <w:textAlignment w:val="auto"/>
              <w:rPr>
                <w:rFonts w:ascii="Century Gothic" w:hAnsi="Century Gothic" w:cs="Calibri"/>
                <w:b/>
                <w:sz w:val="20"/>
                <w:szCs w:val="22"/>
                <w:lang w:eastAsia="en-US"/>
              </w:rPr>
            </w:pPr>
            <w:r>
              <w:rPr>
                <w:rFonts w:ascii="Century Gothic" w:hAnsi="Century Gothic" w:cs="Calibri"/>
                <w:b/>
                <w:sz w:val="20"/>
                <w:szCs w:val="22"/>
                <w:lang w:eastAsia="en-US"/>
              </w:rPr>
              <w:t>40</w:t>
            </w:r>
          </w:p>
        </w:tc>
      </w:tr>
      <w:tr w:rsidR="00E82CE3" w14:paraId="51AA913B" w14:textId="77777777">
        <w:tc>
          <w:tcPr>
            <w:tcW w:w="8500" w:type="dxa"/>
            <w:tcBorders>
              <w:top w:val="single" w:sz="4" w:space="0" w:color="000000"/>
              <w:left w:val="single" w:sz="4" w:space="0" w:color="000000"/>
              <w:bottom w:val="single" w:sz="4" w:space="0" w:color="000000"/>
              <w:right w:val="single" w:sz="4" w:space="0" w:color="000000"/>
            </w:tcBorders>
            <w:shd w:val="clear" w:color="auto" w:fill="5B9BD5"/>
            <w:tcMar>
              <w:top w:w="0" w:type="dxa"/>
              <w:left w:w="108" w:type="dxa"/>
              <w:bottom w:w="0" w:type="dxa"/>
              <w:right w:w="108" w:type="dxa"/>
            </w:tcMar>
          </w:tcPr>
          <w:p w14:paraId="16141961" w14:textId="77777777" w:rsidR="00E82CE3" w:rsidRDefault="00793A01">
            <w:pPr>
              <w:pStyle w:val="RedaliaNormal"/>
              <w:textAlignment w:val="auto"/>
              <w:rPr>
                <w:szCs w:val="22"/>
                <w:lang w:eastAsia="en-US"/>
              </w:rPr>
            </w:pPr>
            <w:r>
              <w:rPr>
                <w:szCs w:val="22"/>
                <w:lang w:eastAsia="en-US"/>
              </w:rPr>
              <w:t>Critères Techniques (voir Cadre de Réponse imposé en fin du présent document)</w:t>
            </w:r>
          </w:p>
        </w:tc>
        <w:tc>
          <w:tcPr>
            <w:tcW w:w="1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1E4E32" w14:textId="77777777" w:rsidR="00E82CE3" w:rsidRDefault="00793A01">
            <w:pPr>
              <w:pStyle w:val="Corpsdetexte"/>
              <w:jc w:val="center"/>
              <w:textAlignment w:val="auto"/>
              <w:rPr>
                <w:rFonts w:ascii="Century Gothic" w:hAnsi="Century Gothic" w:cs="Calibri"/>
                <w:b/>
                <w:sz w:val="20"/>
                <w:szCs w:val="22"/>
                <w:lang w:eastAsia="en-US"/>
              </w:rPr>
            </w:pPr>
            <w:r>
              <w:rPr>
                <w:rFonts w:ascii="Century Gothic" w:hAnsi="Century Gothic" w:cs="Calibri"/>
                <w:b/>
                <w:sz w:val="20"/>
                <w:szCs w:val="22"/>
                <w:lang w:eastAsia="en-US"/>
              </w:rPr>
              <w:t>50</w:t>
            </w:r>
          </w:p>
        </w:tc>
      </w:tr>
      <w:tr w:rsidR="00E82CE3" w14:paraId="4ACE1BC2" w14:textId="77777777">
        <w:tc>
          <w:tcPr>
            <w:tcW w:w="8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925FB3" w14:textId="2A3B02AC" w:rsidR="00E82CE3" w:rsidRPr="00FA3CCF" w:rsidRDefault="00C642CD" w:rsidP="00C642CD">
            <w:pPr>
              <w:pStyle w:val="RedaliaNormal"/>
              <w:textAlignment w:val="auto"/>
              <w:rPr>
                <w:color w:val="000000"/>
                <w:szCs w:val="22"/>
              </w:rPr>
            </w:pPr>
            <w:r w:rsidRPr="00FA3CCF">
              <w:rPr>
                <w:szCs w:val="22"/>
              </w:rPr>
              <w:t>Qualité et pertinence de la méthodologie proposée pour la mise en œuvre des prestations (</w:t>
            </w:r>
            <w:r w:rsidR="00793A01" w:rsidRPr="00FA3CCF">
              <w:rPr>
                <w:color w:val="000000"/>
                <w:szCs w:val="22"/>
              </w:rPr>
              <w:t>exemples de livrables, outils: planning, indicateurs (cartographie par profil), méthodologie projet …)</w:t>
            </w:r>
            <w:r w:rsidRPr="00FA3CCF">
              <w:rPr>
                <w:color w:val="000000"/>
                <w:szCs w:val="22"/>
              </w:rPr>
              <w:t xml:space="preserve"> et le suivi</w:t>
            </w:r>
          </w:p>
        </w:tc>
        <w:tc>
          <w:tcPr>
            <w:tcW w:w="1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6E12A4" w14:textId="6B299D52" w:rsidR="00E82CE3" w:rsidRDefault="00C642CD">
            <w:pPr>
              <w:pStyle w:val="Corpsdetexte"/>
              <w:jc w:val="center"/>
              <w:textAlignment w:val="auto"/>
            </w:pPr>
            <w:r>
              <w:rPr>
                <w:color w:val="000000"/>
                <w:szCs w:val="22"/>
                <w:lang w:eastAsia="en-US"/>
              </w:rPr>
              <w:t>10</w:t>
            </w:r>
          </w:p>
        </w:tc>
      </w:tr>
      <w:tr w:rsidR="00E82CE3" w14:paraId="66439B08" w14:textId="77777777">
        <w:tc>
          <w:tcPr>
            <w:tcW w:w="8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0BB6D1" w14:textId="22FE61D7" w:rsidR="00E82CE3" w:rsidRDefault="00C642CD">
            <w:pPr>
              <w:pStyle w:val="RedaliaNormal"/>
              <w:textAlignment w:val="auto"/>
              <w:rPr>
                <w:color w:val="000000"/>
                <w:sz w:val="20"/>
              </w:rPr>
            </w:pPr>
            <w:r>
              <w:t xml:space="preserve">Qualité et pertinence des profils mis à disposition pour la mise en œuvre des prestations, </w:t>
            </w:r>
            <w:r w:rsidRPr="00BB017B">
              <w:t>notamment dans le do</w:t>
            </w:r>
            <w:r>
              <w:t xml:space="preserve">maine des services financiers </w:t>
            </w:r>
            <w:r w:rsidRPr="00BB017B">
              <w:t>en France ou dans le cadre de l’aide au développement.</w:t>
            </w:r>
          </w:p>
        </w:tc>
        <w:tc>
          <w:tcPr>
            <w:tcW w:w="1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716BDC" w14:textId="77777777" w:rsidR="00E82CE3" w:rsidRDefault="00793A01">
            <w:pPr>
              <w:pStyle w:val="Corpsdetexte"/>
              <w:jc w:val="center"/>
              <w:textAlignment w:val="auto"/>
            </w:pPr>
            <w:r>
              <w:rPr>
                <w:color w:val="000000"/>
                <w:szCs w:val="22"/>
                <w:lang w:eastAsia="en-US"/>
              </w:rPr>
              <w:t>40</w:t>
            </w:r>
          </w:p>
        </w:tc>
      </w:tr>
      <w:tr w:rsidR="00E82CE3" w14:paraId="73DB0E7E" w14:textId="77777777">
        <w:tc>
          <w:tcPr>
            <w:tcW w:w="8500" w:type="dxa"/>
            <w:tcBorders>
              <w:top w:val="single" w:sz="4" w:space="0" w:color="000000"/>
              <w:left w:val="single" w:sz="4" w:space="0" w:color="000000"/>
              <w:bottom w:val="single" w:sz="4" w:space="0" w:color="000000"/>
              <w:right w:val="single" w:sz="4" w:space="0" w:color="000000"/>
            </w:tcBorders>
            <w:shd w:val="clear" w:color="auto" w:fill="5B9BD5"/>
            <w:tcMar>
              <w:top w:w="0" w:type="dxa"/>
              <w:left w:w="108" w:type="dxa"/>
              <w:bottom w:w="0" w:type="dxa"/>
              <w:right w:w="108" w:type="dxa"/>
            </w:tcMar>
          </w:tcPr>
          <w:p w14:paraId="196219E4" w14:textId="77777777" w:rsidR="00E82CE3" w:rsidRDefault="00793A01">
            <w:pPr>
              <w:pStyle w:val="RedaliaNormal"/>
              <w:textAlignment w:val="auto"/>
              <w:rPr>
                <w:sz w:val="20"/>
                <w:lang w:eastAsia="en-US"/>
              </w:rPr>
            </w:pPr>
            <w:r>
              <w:rPr>
                <w:sz w:val="20"/>
                <w:lang w:eastAsia="en-US"/>
              </w:rPr>
              <w:t>Critères RSE</w:t>
            </w:r>
          </w:p>
        </w:tc>
        <w:tc>
          <w:tcPr>
            <w:tcW w:w="1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802AA" w14:textId="77777777" w:rsidR="00E82CE3" w:rsidRDefault="00793A01">
            <w:pPr>
              <w:pStyle w:val="Corpsdetexte"/>
              <w:jc w:val="center"/>
              <w:textAlignment w:val="auto"/>
              <w:rPr>
                <w:rFonts w:ascii="Century Gothic" w:hAnsi="Century Gothic" w:cs="Calibri"/>
                <w:b/>
                <w:sz w:val="20"/>
                <w:szCs w:val="22"/>
                <w:lang w:eastAsia="en-US"/>
              </w:rPr>
            </w:pPr>
            <w:r>
              <w:rPr>
                <w:rFonts w:ascii="Century Gothic" w:hAnsi="Century Gothic" w:cs="Calibri"/>
                <w:b/>
                <w:sz w:val="20"/>
                <w:szCs w:val="22"/>
                <w:lang w:eastAsia="en-US"/>
              </w:rPr>
              <w:t>10</w:t>
            </w:r>
          </w:p>
        </w:tc>
      </w:tr>
      <w:tr w:rsidR="00E82CE3" w14:paraId="45FB5CC7" w14:textId="77777777">
        <w:tc>
          <w:tcPr>
            <w:tcW w:w="8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C7F6B4" w14:textId="77777777" w:rsidR="00E82CE3" w:rsidRPr="00B7159E" w:rsidRDefault="00793A01">
            <w:pPr>
              <w:pStyle w:val="RedaliaNormal"/>
              <w:textAlignment w:val="auto"/>
            </w:pPr>
            <w:bookmarkStart w:id="50" w:name="_Toc164762458"/>
            <w:r w:rsidRPr="00B7159E">
              <w:t xml:space="preserve">Qualité des dispositions RSE qui seront mis en œuvre pour l’exécution du contrat </w:t>
            </w:r>
          </w:p>
          <w:bookmarkEnd w:id="50"/>
          <w:p w14:paraId="35B70D7C" w14:textId="77777777" w:rsidR="007B3E54" w:rsidRPr="007B3E54" w:rsidRDefault="007B3E54" w:rsidP="007B3E54">
            <w:pPr>
              <w:pStyle w:val="RedaliaNormal"/>
              <w:numPr>
                <w:ilvl w:val="0"/>
                <w:numId w:val="41"/>
              </w:numPr>
              <w:textAlignment w:val="auto"/>
            </w:pPr>
            <w:r w:rsidRPr="007B3E54">
              <w:t>Spécification technique environnementale : exigences pour le climat</w:t>
            </w:r>
          </w:p>
          <w:p w14:paraId="63E4F8E4" w14:textId="77777777" w:rsidR="00F819D2" w:rsidRDefault="00F819D2" w:rsidP="00F819D2">
            <w:pPr>
              <w:pStyle w:val="RedaliaNormal"/>
              <w:ind w:left="174"/>
              <w:textAlignment w:val="auto"/>
              <w:rPr>
                <w:color w:val="000000"/>
                <w:sz w:val="20"/>
              </w:rPr>
            </w:pPr>
            <w:bookmarkStart w:id="51" w:name="_Toc164762463"/>
            <w:r>
              <w:rPr>
                <w:color w:val="000000"/>
                <w:sz w:val="20"/>
              </w:rPr>
              <w:t xml:space="preserve">Actions de réduction des émissions carbone ou des consommations d’énergie applicables à l’achat </w:t>
            </w:r>
          </w:p>
          <w:bookmarkEnd w:id="51"/>
          <w:p w14:paraId="622D340B" w14:textId="77777777" w:rsidR="00F819D2" w:rsidRDefault="00F819D2" w:rsidP="00F819D2">
            <w:pPr>
              <w:pStyle w:val="RedaliaNormal"/>
              <w:ind w:left="174"/>
              <w:textAlignment w:val="auto"/>
              <w:rPr>
                <w:color w:val="000000"/>
                <w:sz w:val="20"/>
              </w:rPr>
            </w:pPr>
            <w:r>
              <w:rPr>
                <w:color w:val="000000"/>
                <w:sz w:val="20"/>
              </w:rPr>
              <w:t>Bilan des émissions carbone ou des consommations d’énergie de l'achat réalisable et plan de réduction des émissions/ consommations</w:t>
            </w:r>
          </w:p>
          <w:p w14:paraId="01DB4827" w14:textId="107A7686" w:rsidR="00B7159E" w:rsidRPr="00B7159E" w:rsidRDefault="00B7159E" w:rsidP="00F819D2">
            <w:pPr>
              <w:pStyle w:val="RedaliaNormal"/>
              <w:numPr>
                <w:ilvl w:val="0"/>
                <w:numId w:val="41"/>
              </w:numPr>
              <w:textAlignment w:val="auto"/>
            </w:pPr>
            <w:r w:rsidRPr="00B7159E">
              <w:t xml:space="preserve">Conditions d’exécution sociales </w:t>
            </w:r>
          </w:p>
          <w:p w14:paraId="5C59E3D1" w14:textId="77812128" w:rsidR="00E82CE3" w:rsidRDefault="00F91F8C" w:rsidP="00B7159E">
            <w:pPr>
              <w:pStyle w:val="RedaliaNormal"/>
              <w:textAlignment w:val="auto"/>
            </w:pPr>
            <w:r>
              <w:t>(</w:t>
            </w:r>
            <w:r w:rsidR="00B7159E">
              <w:t>Cf. Cadre de Réponse</w:t>
            </w:r>
            <w:r>
              <w:t xml:space="preserve"> ci-dessous)</w:t>
            </w:r>
          </w:p>
        </w:tc>
        <w:tc>
          <w:tcPr>
            <w:tcW w:w="11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AAEE" w14:textId="77777777" w:rsidR="00E82CE3" w:rsidRDefault="00E82CE3">
            <w:pPr>
              <w:pStyle w:val="Corpsdetexte"/>
              <w:jc w:val="center"/>
              <w:textAlignment w:val="auto"/>
              <w:rPr>
                <w:rFonts w:ascii="Century Gothic" w:hAnsi="Century Gothic" w:cs="Calibri"/>
                <w:b/>
                <w:sz w:val="20"/>
                <w:szCs w:val="22"/>
                <w:lang w:eastAsia="en-US"/>
              </w:rPr>
            </w:pPr>
          </w:p>
        </w:tc>
      </w:tr>
    </w:tbl>
    <w:p w14:paraId="572322EC" w14:textId="77777777" w:rsidR="00E82CE3" w:rsidRDefault="00E82CE3">
      <w:pPr>
        <w:pStyle w:val="RedaliaNormal"/>
      </w:pPr>
    </w:p>
    <w:p w14:paraId="5C2D29D3" w14:textId="6938D863" w:rsidR="00E82CE3" w:rsidRDefault="00793A01">
      <w:pPr>
        <w:pStyle w:val="RedaliaNormal"/>
      </w:pPr>
      <w:r>
        <w:t xml:space="preserve">Le pouvoir adjudicateur écartera les offres inappropriées. </w:t>
      </w:r>
    </w:p>
    <w:p w14:paraId="44D22FF9" w14:textId="10658B0F" w:rsidR="00C3573F" w:rsidRDefault="00C3573F">
      <w:pPr>
        <w:pStyle w:val="RedaliaNormal"/>
      </w:pPr>
      <w:r>
        <w:t>Les négociations se dérouleront comme prévues à l’article 2.</w:t>
      </w:r>
    </w:p>
    <w:p w14:paraId="55F8E757" w14:textId="77777777" w:rsidR="00E82CE3" w:rsidRDefault="00793A01">
      <w:pPr>
        <w:pStyle w:val="RedaliaTitre2"/>
      </w:pPr>
      <w:bookmarkStart w:id="52" w:name="_Toc170898458"/>
      <w:bookmarkStart w:id="53" w:name="_Toc196406050"/>
      <w:r>
        <w:t xml:space="preserve">Attribution </w:t>
      </w:r>
      <w:bookmarkEnd w:id="52"/>
      <w:r>
        <w:t>de l’accord-cadre</w:t>
      </w:r>
      <w:bookmarkEnd w:id="53"/>
      <w:r>
        <w:t> </w:t>
      </w:r>
    </w:p>
    <w:p w14:paraId="5750DC18" w14:textId="77777777" w:rsidR="00B7159E" w:rsidRDefault="00B7159E" w:rsidP="00B7159E">
      <w:pPr>
        <w:pStyle w:val="RedaliaNormal"/>
      </w:pPr>
      <w:r w:rsidRPr="00773442">
        <w:t xml:space="preserve">La réglementation ne fait plus obligation à l’opérateur économique, soumissionnant seul ou sous forme de groupement, de signer son offre. Toutefois, </w:t>
      </w:r>
      <w:r w:rsidRPr="007C1D1D">
        <w:rPr>
          <w:b/>
        </w:rPr>
        <w:t>la signature de l'offre du candidat attributaire devra impérativement intervenir au plus tard à l'attribution de l'accord-cadre</w:t>
      </w:r>
      <w:r w:rsidRPr="00773442">
        <w:t>.</w:t>
      </w:r>
    </w:p>
    <w:p w14:paraId="2037F920" w14:textId="77777777" w:rsidR="00B7159E" w:rsidRDefault="00B7159E">
      <w:pPr>
        <w:pStyle w:val="RedaliaNormal"/>
      </w:pPr>
    </w:p>
    <w:p w14:paraId="48CFE5AC" w14:textId="3A29B76A" w:rsidR="00E82CE3" w:rsidRDefault="00793A01">
      <w:pPr>
        <w:pStyle w:val="RedaliaNormal"/>
      </w:pPr>
      <w:r>
        <w:t xml:space="preserve">Préalablement à la signature du contrat, et conformément à l’article R2144-7 du Code de la commande publique, l’attributaire devra transmettre sur l’outil de recueil des attestations fournisseurs dont s’est doté le Pouvoir Adjudicateur (outil </w:t>
      </w:r>
      <w:proofErr w:type="spellStart"/>
      <w:r>
        <w:t>Provigis</w:t>
      </w:r>
      <w:proofErr w:type="spellEnd"/>
      <w:r>
        <w:t>) les documents ci-dessous demandés :</w:t>
      </w:r>
    </w:p>
    <w:p w14:paraId="6AAAD4FE" w14:textId="77777777" w:rsidR="00E82CE3" w:rsidRDefault="00793A01">
      <w:pPr>
        <w:pStyle w:val="RedaliaNormal"/>
      </w:pPr>
      <w:r>
        <w:lastRenderedPageBreak/>
        <w:t>• Un document en cours de validité attestant de l’immatriculation effective de la structure (extrait K-bis ou équivalent) ;</w:t>
      </w:r>
    </w:p>
    <w:p w14:paraId="36BA087D" w14:textId="77777777" w:rsidR="00E82CE3" w:rsidRDefault="00793A01">
      <w:pPr>
        <w:pStyle w:val="RedaliaNormal"/>
      </w:pPr>
      <w:r>
        <w:t>• Une attestation en cours de validité délivrée par les autorités compétentes certifiant que le candidat est à jour de ses obligations sociales (URSSAF, RSI, AGESSA, MDA...) ;</w:t>
      </w:r>
    </w:p>
    <w:p w14:paraId="19E472B0" w14:textId="77777777" w:rsidR="00E82CE3" w:rsidRDefault="00793A01">
      <w:pPr>
        <w:pStyle w:val="RedaliaNormal"/>
      </w:pPr>
      <w:r>
        <w:t>• La liste nominative des travailleurs étrangers hors CE ou détachés, employés par la structure ou à défaut une attestation sur l’honneur de non emploi de travailleurs étrangers hors CE (daté de moins de 6 mois) ;</w:t>
      </w:r>
    </w:p>
    <w:p w14:paraId="6C108428" w14:textId="77777777" w:rsidR="00E82CE3" w:rsidRDefault="00793A01">
      <w:pPr>
        <w:pStyle w:val="RedaliaNormal"/>
      </w:pPr>
      <w:r>
        <w:t>• Une attestation fiscale en cours de validité délivrée par les autorités compétentes certifiant que le candidat est à jour de ses obligations fiscales ;</w:t>
      </w:r>
    </w:p>
    <w:p w14:paraId="50AAD18A" w14:textId="77777777" w:rsidR="00E82CE3" w:rsidRDefault="00793A01">
      <w:pPr>
        <w:pStyle w:val="RedaliaNormal"/>
      </w:pPr>
      <w:r>
        <w:t>• Une attestation d’assurances de responsabilité civile et / ou professionnelle en cours de validité.</w:t>
      </w:r>
    </w:p>
    <w:p w14:paraId="44358143" w14:textId="77777777" w:rsidR="00E82CE3" w:rsidRDefault="00E82CE3">
      <w:pPr>
        <w:pStyle w:val="RedaliaNormal"/>
      </w:pPr>
    </w:p>
    <w:p w14:paraId="53ACB0EB" w14:textId="77777777" w:rsidR="00E82CE3" w:rsidRDefault="00793A01">
      <w:pPr>
        <w:pStyle w:val="RedaliaNormal"/>
      </w:pPr>
      <w:r>
        <w:t>Afin de satisfaire à cette dernière obligation, le candidat établi dans un autre Etat que la France doit produire un certificat établi par les administrations et organismes du pays d’origine.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14:paraId="230C0F73" w14:textId="77777777" w:rsidR="00E82CE3" w:rsidRDefault="00E82CE3">
      <w:pPr>
        <w:pStyle w:val="RedaliaNormal"/>
      </w:pPr>
    </w:p>
    <w:p w14:paraId="20B96DB8" w14:textId="77777777" w:rsidR="00E82CE3" w:rsidRDefault="00793A01">
      <w:pPr>
        <w:pStyle w:val="RedaliaNormal"/>
      </w:pPr>
      <w:r>
        <w:t>A défaut de produire ces documents dans le délai fixé, l’offre du candidat attributaire sera rejetée et il sera éliminé.</w:t>
      </w:r>
    </w:p>
    <w:p w14:paraId="04B2F581" w14:textId="77777777" w:rsidR="00E82CE3" w:rsidRDefault="00793A01">
      <w:pPr>
        <w:pStyle w:val="RedaliaNormal"/>
      </w:pPr>
      <w:r>
        <w:t>Le candidat suivant sera alors sollicité pour produire les certificats et attestations nécessaires avant que l’accord-cadre ne lui soit attribué.</w:t>
      </w:r>
    </w:p>
    <w:p w14:paraId="6080F82E" w14:textId="77777777" w:rsidR="00E82CE3" w:rsidRDefault="00793A01">
      <w:pPr>
        <w:pStyle w:val="RedaliaTitre1"/>
      </w:pPr>
      <w:bookmarkStart w:id="54" w:name="_Toc79070502"/>
      <w:bookmarkStart w:id="55" w:name="_Toc196406051"/>
      <w:r>
        <w:t>Conditions d’envoi et de remise des candidatures et des offres</w:t>
      </w:r>
      <w:bookmarkEnd w:id="54"/>
      <w:bookmarkEnd w:id="55"/>
    </w:p>
    <w:p w14:paraId="4EBDDDE4" w14:textId="77777777" w:rsidR="00E82CE3" w:rsidRDefault="00793A01">
      <w:pPr>
        <w:pStyle w:val="RedaliaNormal"/>
      </w:pPr>
      <w:r>
        <w:t>La transmission des documents par voie électronique ne peut être réalisée qu’à l’adresse suivante : https://www.marches-publics.gouv.fr/.</w:t>
      </w:r>
    </w:p>
    <w:p w14:paraId="64F66438" w14:textId="77777777" w:rsidR="00E82CE3" w:rsidRDefault="00793A01">
      <w:pPr>
        <w:pStyle w:val="RedaliaNormal"/>
      </w:pPr>
      <w:r>
        <w:t>Le fuseau horaire de référence sera celui de (GMT+01:00) Paris, Bruxelles, Copenhague, Madrid.</w:t>
      </w:r>
    </w:p>
    <w:p w14:paraId="5B6FA3DD" w14:textId="77777777" w:rsidR="00E82CE3" w:rsidRDefault="00793A01">
      <w:pPr>
        <w:pStyle w:val="RedaliaNormal"/>
      </w:pPr>
      <w:r>
        <w:t>Chaque transmission fera l’objet d’une date certaine de réception et d’un accusé de réception électronique.</w:t>
      </w:r>
    </w:p>
    <w:p w14:paraId="64EE4839" w14:textId="77777777" w:rsidR="00E82CE3" w:rsidRDefault="00793A01">
      <w:pPr>
        <w:pStyle w:val="RedaliaNormal"/>
      </w:pPr>
      <w:r>
        <w:t xml:space="preserve">Il est fortement recommandé d’initier le dépôt d’offre </w:t>
      </w:r>
      <w:r>
        <w:rPr>
          <w:b/>
        </w:rPr>
        <w:t>au moins 2 heures avant la DLRO.</w:t>
      </w:r>
    </w:p>
    <w:p w14:paraId="2455A4FA" w14:textId="77777777" w:rsidR="00E82CE3" w:rsidRDefault="00793A01">
      <w:pPr>
        <w:pStyle w:val="RedaliaNormal"/>
      </w:pPr>
      <w:r>
        <w:t>En cas de difficultés, veuillez contacter le support de la plateforme PLACE (</w:t>
      </w:r>
      <w:hyperlink r:id="rId13" w:history="1">
        <w:r>
          <w:rPr>
            <w:rStyle w:val="Lienhypertexte"/>
          </w:rPr>
          <w:t>https://www.marches-publics.gouv.fr/</w:t>
        </w:r>
      </w:hyperlink>
      <w:r>
        <w:t>)</w:t>
      </w:r>
    </w:p>
    <w:p w14:paraId="04A6BE60" w14:textId="77777777" w:rsidR="00E82CE3" w:rsidRDefault="00793A01">
      <w:pPr>
        <w:pStyle w:val="RedaliaNormal"/>
        <w:pBdr>
          <w:top w:val="single" w:sz="4" w:space="1" w:color="000000"/>
          <w:left w:val="single" w:sz="4" w:space="4" w:color="000000"/>
          <w:bottom w:val="single" w:sz="4" w:space="1" w:color="000000"/>
          <w:right w:val="single" w:sz="4" w:space="4" w:color="000000"/>
        </w:pBdr>
      </w:pPr>
      <w:r>
        <w:rPr>
          <w:u w:val="single"/>
        </w:rPr>
        <w:t>Se préparer à l’avance</w:t>
      </w:r>
      <w:r>
        <w:t xml:space="preserve"> :</w:t>
      </w:r>
    </w:p>
    <w:p w14:paraId="0BE21B28" w14:textId="77777777" w:rsidR="00E82CE3" w:rsidRDefault="00E82CE3">
      <w:pPr>
        <w:pStyle w:val="RedaliaNormal"/>
        <w:pBdr>
          <w:top w:val="single" w:sz="4" w:space="1" w:color="000000"/>
          <w:left w:val="single" w:sz="4" w:space="4" w:color="000000"/>
          <w:bottom w:val="single" w:sz="4" w:space="1" w:color="000000"/>
          <w:right w:val="single" w:sz="4" w:space="4" w:color="000000"/>
        </w:pBdr>
      </w:pPr>
    </w:p>
    <w:p w14:paraId="7C387C6F" w14:textId="77777777" w:rsidR="00E82CE3" w:rsidRDefault="00793A01">
      <w:pPr>
        <w:pStyle w:val="RedaliaNormal"/>
        <w:pBdr>
          <w:top w:val="single" w:sz="4" w:space="1" w:color="000000"/>
          <w:left w:val="single" w:sz="4" w:space="4" w:color="000000"/>
          <w:bottom w:val="single" w:sz="4" w:space="1" w:color="000000"/>
          <w:right w:val="single" w:sz="4" w:space="4" w:color="000000"/>
        </w:pBdr>
      </w:pPr>
      <w:r>
        <w:t>Nécessité de certificat numérique - Configuration à l’avance du poste de travail - recommandation de se préparer avec la Consultation de test.</w:t>
      </w:r>
    </w:p>
    <w:p w14:paraId="1E0AA34A" w14:textId="77777777" w:rsidR="00E82CE3" w:rsidRDefault="00E82CE3">
      <w:pPr>
        <w:pStyle w:val="RedaliaNormal"/>
        <w:pBdr>
          <w:top w:val="single" w:sz="4" w:space="1" w:color="000000"/>
          <w:left w:val="single" w:sz="4" w:space="4" w:color="000000"/>
          <w:bottom w:val="single" w:sz="4" w:space="1" w:color="000000"/>
          <w:right w:val="single" w:sz="4" w:space="4" w:color="000000"/>
        </w:pBdr>
      </w:pPr>
    </w:p>
    <w:p w14:paraId="19271631" w14:textId="77777777" w:rsidR="00E82CE3" w:rsidRDefault="00793A01">
      <w:pPr>
        <w:pStyle w:val="RedaliaNormal"/>
        <w:pBdr>
          <w:top w:val="single" w:sz="4" w:space="1" w:color="000000"/>
          <w:left w:val="single" w:sz="4" w:space="4" w:color="000000"/>
          <w:bottom w:val="single" w:sz="4" w:space="1" w:color="000000"/>
          <w:right w:val="single" w:sz="4" w:space="4" w:color="000000"/>
        </w:pBdr>
      </w:pPr>
      <w:r>
        <w:t>En cas de réponse électronique, la signature électronique de certaines pièces est requise.</w:t>
      </w:r>
    </w:p>
    <w:p w14:paraId="0B8B1425" w14:textId="77777777" w:rsidR="00E82CE3" w:rsidRDefault="00E82CE3">
      <w:pPr>
        <w:pStyle w:val="RedaliaNormal"/>
        <w:pBdr>
          <w:top w:val="single" w:sz="4" w:space="1" w:color="000000"/>
          <w:left w:val="single" w:sz="4" w:space="4" w:color="000000"/>
          <w:bottom w:val="single" w:sz="4" w:space="1" w:color="000000"/>
          <w:right w:val="single" w:sz="4" w:space="4" w:color="000000"/>
        </w:pBdr>
      </w:pPr>
    </w:p>
    <w:p w14:paraId="719087B6" w14:textId="77777777" w:rsidR="00E82CE3" w:rsidRDefault="00793A01">
      <w:pPr>
        <w:pStyle w:val="RedaliaNormal"/>
        <w:pBdr>
          <w:top w:val="single" w:sz="4" w:space="1" w:color="000000"/>
          <w:left w:val="single" w:sz="4" w:space="4" w:color="000000"/>
          <w:bottom w:val="single" w:sz="4" w:space="1" w:color="000000"/>
          <w:right w:val="single" w:sz="4" w:space="4" w:color="000000"/>
        </w:pBdr>
      </w:pPr>
      <w:r>
        <w:t>Le soumissionnaire doit avoir au préalable fait l’acquisition d’un certificat électronique. Obtenir un certificat électronique prend plusieurs jours, voire plusieurs semaines. Si le soumissionnaire ne possède pas de certificat électronique valable dans le cadre de la réponse à un accord-cadre dématérialisé, il est impératif qu’il en fasse la demande en avance.</w:t>
      </w:r>
    </w:p>
    <w:p w14:paraId="50B33AC4" w14:textId="77777777" w:rsidR="00E82CE3" w:rsidRDefault="00E82CE3">
      <w:pPr>
        <w:pStyle w:val="RedaliaNormal"/>
        <w:pBdr>
          <w:top w:val="single" w:sz="4" w:space="1" w:color="000000"/>
          <w:left w:val="single" w:sz="4" w:space="4" w:color="000000"/>
          <w:bottom w:val="single" w:sz="4" w:space="1" w:color="000000"/>
          <w:right w:val="single" w:sz="4" w:space="4" w:color="000000"/>
        </w:pBdr>
      </w:pPr>
    </w:p>
    <w:p w14:paraId="06E24F8B" w14:textId="77777777" w:rsidR="00E82CE3" w:rsidRDefault="00793A01">
      <w:pPr>
        <w:pStyle w:val="RedaliaNormal"/>
        <w:pBdr>
          <w:top w:val="single" w:sz="4" w:space="1" w:color="000000"/>
          <w:left w:val="single" w:sz="4" w:space="4" w:color="000000"/>
          <w:bottom w:val="single" w:sz="4" w:space="1" w:color="000000"/>
          <w:right w:val="single" w:sz="4" w:space="4" w:color="000000"/>
        </w:pBdr>
      </w:pPr>
      <w:r>
        <w:t>Il est également fortement recommandé au soumissionnaire de prendre ses dispositions de manière à ce que sa réponse électronique soit déposée dans les délais impartis. Un test de configuration du poste de travail ainsi que des consultations de test sont mis à sa disposition sur la plateforme.</w:t>
      </w:r>
    </w:p>
    <w:p w14:paraId="33122EE9" w14:textId="77777777" w:rsidR="00E82CE3" w:rsidRDefault="00E82CE3">
      <w:pPr>
        <w:pStyle w:val="RedaliaNormal"/>
      </w:pPr>
    </w:p>
    <w:p w14:paraId="5B9E68F3" w14:textId="77777777" w:rsidR="00E82CE3" w:rsidRDefault="00793A01">
      <w:pPr>
        <w:pStyle w:val="RedaliaNormal"/>
      </w:pPr>
      <w:r>
        <w:rPr>
          <w:u w:val="single"/>
        </w:rPr>
        <w:t>Formats de fichiers acceptés</w:t>
      </w:r>
      <w:r>
        <w:t xml:space="preserve"> :</w:t>
      </w:r>
    </w:p>
    <w:p w14:paraId="672D16FB" w14:textId="77777777" w:rsidR="00E82CE3" w:rsidRDefault="00E82CE3">
      <w:pPr>
        <w:pStyle w:val="RedaliaNormal"/>
      </w:pPr>
    </w:p>
    <w:p w14:paraId="47D779D1" w14:textId="77777777" w:rsidR="00E82CE3" w:rsidRDefault="00793A01">
      <w:pPr>
        <w:pStyle w:val="RedaliaNormal"/>
      </w:pPr>
      <w:r>
        <w:t>En cas de transmission de réponse par voie électronique, les documents fournis doivent être dans l’un des formats suivants, sous peine d’irrecevabilité de l’offre :</w:t>
      </w:r>
    </w:p>
    <w:p w14:paraId="30693093" w14:textId="77777777" w:rsidR="00E82CE3" w:rsidRDefault="00793A01">
      <w:pPr>
        <w:pStyle w:val="RdaliaRetraitniveau1"/>
        <w:numPr>
          <w:ilvl w:val="0"/>
          <w:numId w:val="34"/>
        </w:numPr>
      </w:pPr>
      <w:r>
        <w:t>Format bureautique propriétaire de Microsoft compatible version 2003 (.doc, .</w:t>
      </w:r>
      <w:proofErr w:type="spellStart"/>
      <w:r>
        <w:t>xls</w:t>
      </w:r>
      <w:proofErr w:type="spellEnd"/>
      <w:r>
        <w:t xml:space="preserve"> et .</w:t>
      </w:r>
      <w:proofErr w:type="spellStart"/>
      <w:r>
        <w:t>ppt</w:t>
      </w:r>
      <w:proofErr w:type="spellEnd"/>
      <w:r>
        <w:t>),</w:t>
      </w:r>
    </w:p>
    <w:p w14:paraId="4E795596" w14:textId="77777777" w:rsidR="00E82CE3" w:rsidRDefault="00793A01">
      <w:pPr>
        <w:pStyle w:val="RdaliaRetraitniveau1"/>
        <w:numPr>
          <w:ilvl w:val="0"/>
          <w:numId w:val="14"/>
        </w:numPr>
      </w:pPr>
      <w:r>
        <w:t>Format texte universel (.</w:t>
      </w:r>
      <w:proofErr w:type="spellStart"/>
      <w:r>
        <w:t>rtf</w:t>
      </w:r>
      <w:proofErr w:type="spellEnd"/>
      <w:r>
        <w:t>),</w:t>
      </w:r>
    </w:p>
    <w:p w14:paraId="1FD541B2" w14:textId="77777777" w:rsidR="00E82CE3" w:rsidRDefault="00793A01">
      <w:pPr>
        <w:pStyle w:val="RdaliaRetraitniveau1"/>
        <w:numPr>
          <w:ilvl w:val="0"/>
          <w:numId w:val="14"/>
        </w:numPr>
      </w:pPr>
      <w:r>
        <w:t>Format PDF (.</w:t>
      </w:r>
      <w:proofErr w:type="spellStart"/>
      <w:r>
        <w:t>pdf</w:t>
      </w:r>
      <w:proofErr w:type="spellEnd"/>
      <w:r>
        <w:t>),</w:t>
      </w:r>
    </w:p>
    <w:p w14:paraId="53461A36" w14:textId="77777777" w:rsidR="00E82CE3" w:rsidRDefault="00793A01">
      <w:pPr>
        <w:pStyle w:val="RdaliaRetraitniveau1"/>
        <w:numPr>
          <w:ilvl w:val="0"/>
          <w:numId w:val="14"/>
        </w:numPr>
      </w:pPr>
      <w:r>
        <w:t>Formats images (.</w:t>
      </w:r>
      <w:proofErr w:type="spellStart"/>
      <w:r>
        <w:t>gif</w:t>
      </w:r>
      <w:proofErr w:type="spellEnd"/>
      <w:r>
        <w:t>, .</w:t>
      </w:r>
      <w:proofErr w:type="spellStart"/>
      <w:r>
        <w:t>jpg</w:t>
      </w:r>
      <w:proofErr w:type="spellEnd"/>
      <w:r>
        <w:t xml:space="preserve"> et .</w:t>
      </w:r>
      <w:proofErr w:type="spellStart"/>
      <w:r>
        <w:t>png</w:t>
      </w:r>
      <w:proofErr w:type="spellEnd"/>
      <w:r>
        <w:t>),</w:t>
      </w:r>
    </w:p>
    <w:p w14:paraId="43686D92" w14:textId="77777777" w:rsidR="00E82CE3" w:rsidRDefault="00793A01">
      <w:pPr>
        <w:pStyle w:val="RdaliaRetraitniveau1"/>
        <w:numPr>
          <w:ilvl w:val="0"/>
          <w:numId w:val="14"/>
        </w:numPr>
      </w:pPr>
      <w:r>
        <w:t>Format pour les plans (.</w:t>
      </w:r>
      <w:proofErr w:type="spellStart"/>
      <w:r>
        <w:t>dxf</w:t>
      </w:r>
      <w:proofErr w:type="spellEnd"/>
      <w:r>
        <w:t xml:space="preserve"> et .</w:t>
      </w:r>
      <w:proofErr w:type="spellStart"/>
      <w:r>
        <w:t>dwg</w:t>
      </w:r>
      <w:proofErr w:type="spellEnd"/>
      <w:r>
        <w:t>).</w:t>
      </w:r>
    </w:p>
    <w:p w14:paraId="18405FB8" w14:textId="77777777" w:rsidR="00E82CE3" w:rsidRDefault="00E82CE3">
      <w:pPr>
        <w:pStyle w:val="RedaliaNormal"/>
      </w:pPr>
    </w:p>
    <w:p w14:paraId="78A4DBF9" w14:textId="77777777" w:rsidR="00E82CE3" w:rsidRDefault="00793A01">
      <w:pPr>
        <w:pStyle w:val="RedaliaNormal"/>
      </w:pPr>
      <w: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6797E042" w14:textId="77777777" w:rsidR="00E82CE3" w:rsidRDefault="00E82CE3">
      <w:pPr>
        <w:pStyle w:val="RedaliaNormal"/>
      </w:pPr>
    </w:p>
    <w:p w14:paraId="4883271B" w14:textId="77777777" w:rsidR="00E82CE3" w:rsidRDefault="00793A01">
      <w:pPr>
        <w:pStyle w:val="RedaliaNormal"/>
      </w:pPr>
      <w:r>
        <w:rPr>
          <w:u w:val="single"/>
        </w:rPr>
        <w:t>Signature électronique des fichiers de la réponse</w:t>
      </w:r>
      <w:r>
        <w:t xml:space="preserve"> :</w:t>
      </w:r>
    </w:p>
    <w:p w14:paraId="6A801C8F" w14:textId="77777777" w:rsidR="00E82CE3" w:rsidRDefault="00E82CE3">
      <w:pPr>
        <w:pStyle w:val="RedaliaNormal"/>
      </w:pPr>
    </w:p>
    <w:p w14:paraId="4FD48D6A" w14:textId="77777777" w:rsidR="00E82CE3" w:rsidRDefault="00793A01">
      <w:pPr>
        <w:pStyle w:val="RedaliaNormal"/>
      </w:pPr>
      <w:r>
        <w:t>Les documents du soumissionnaire doivent être signés électroniquement, selon les modalités détaillées ci-dessous.</w:t>
      </w:r>
    </w:p>
    <w:p w14:paraId="2841F1D4" w14:textId="77777777" w:rsidR="00E82CE3" w:rsidRDefault="00E82CE3">
      <w:pPr>
        <w:pStyle w:val="RedaliaNormal"/>
      </w:pPr>
    </w:p>
    <w:p w14:paraId="04E70F16" w14:textId="77777777" w:rsidR="00E82CE3" w:rsidRDefault="00793A01">
      <w:pPr>
        <w:pStyle w:val="RedaliaNormal"/>
      </w:pPr>
      <w:r>
        <w:t>Par application de l’arrêté du 22 mars 2019 relatif à la signature électronique des contrats de la commande publique, le candidat doit respecter les conditions relatives :</w:t>
      </w:r>
    </w:p>
    <w:p w14:paraId="2F3A73E5" w14:textId="77777777" w:rsidR="00E82CE3" w:rsidRDefault="00793A01">
      <w:pPr>
        <w:pStyle w:val="RdaliaRetraitniveau1"/>
        <w:numPr>
          <w:ilvl w:val="0"/>
          <w:numId w:val="14"/>
        </w:numPr>
      </w:pPr>
      <w:proofErr w:type="gramStart"/>
      <w:r>
        <w:t>au</w:t>
      </w:r>
      <w:proofErr w:type="gramEnd"/>
      <w:r>
        <w:t xml:space="preserve"> certificat de signature du signataire,</w:t>
      </w:r>
    </w:p>
    <w:p w14:paraId="707CD4CE" w14:textId="77777777" w:rsidR="00E82CE3" w:rsidRDefault="00793A01">
      <w:pPr>
        <w:pStyle w:val="RdaliaRetraitniveau1"/>
        <w:numPr>
          <w:ilvl w:val="0"/>
          <w:numId w:val="14"/>
        </w:numPr>
      </w:pPr>
      <w:proofErr w:type="gramStart"/>
      <w:r>
        <w:t>à</w:t>
      </w:r>
      <w:proofErr w:type="gramEnd"/>
      <w:r>
        <w:t xml:space="preserve"> l’outil de signature utilisé (logiciel, service en ligne, parapheur le cas échéant), devant produire des signatures électroniques conformes aux formats réglementaires. (</w:t>
      </w:r>
      <w:proofErr w:type="gramStart"/>
      <w:r>
        <w:t>cf.</w:t>
      </w:r>
      <w:proofErr w:type="gramEnd"/>
      <w:r>
        <w:t xml:space="preserve"> annexe)</w:t>
      </w:r>
    </w:p>
    <w:p w14:paraId="7FFCE103" w14:textId="77777777" w:rsidR="00E82CE3" w:rsidRDefault="00E82CE3">
      <w:pPr>
        <w:pStyle w:val="RedaliaNormal"/>
      </w:pPr>
    </w:p>
    <w:p w14:paraId="23512BCC" w14:textId="77777777" w:rsidR="00E82CE3" w:rsidRDefault="00793A01">
      <w:pPr>
        <w:pStyle w:val="RedaliaNormal"/>
      </w:pPr>
      <w:r>
        <w:rPr>
          <w:u w:val="single"/>
        </w:rPr>
        <w:t>Rappels généraux : Dossier ZIP et signature scannée</w:t>
      </w:r>
      <w:r>
        <w:t> :</w:t>
      </w:r>
    </w:p>
    <w:p w14:paraId="7C0A06C0" w14:textId="77777777" w:rsidR="00E82CE3" w:rsidRDefault="00E82CE3">
      <w:pPr>
        <w:pStyle w:val="RedaliaNormal"/>
      </w:pPr>
    </w:p>
    <w:p w14:paraId="27B1E531" w14:textId="77777777" w:rsidR="00E82CE3" w:rsidRDefault="00793A01">
      <w:pPr>
        <w:pStyle w:val="RedaliaNormal"/>
      </w:pPr>
      <w:r>
        <w:t xml:space="preserve">Les documents transmis par voie électronique seront </w:t>
      </w:r>
      <w:proofErr w:type="spellStart"/>
      <w:r>
        <w:t>re</w:t>
      </w:r>
      <w:proofErr w:type="spellEnd"/>
      <w:r>
        <w:t>-matérialisés après l’ouverture des plis. Les candidats sont informés que l’attribution de l'accord-cadre pourra donner lieu à la signature manuscrite de l'accord-cadre papier.</w:t>
      </w:r>
    </w:p>
    <w:p w14:paraId="6EB262F0" w14:textId="77777777" w:rsidR="00E82CE3" w:rsidRDefault="00E82CE3">
      <w:pPr>
        <w:pStyle w:val="RedaliaNormal"/>
      </w:pPr>
    </w:p>
    <w:p w14:paraId="4C8A7EBB" w14:textId="77777777" w:rsidR="00E82CE3" w:rsidRDefault="00793A01">
      <w:pPr>
        <w:pStyle w:val="RdaliaRetraitniveau1"/>
        <w:numPr>
          <w:ilvl w:val="0"/>
          <w:numId w:val="14"/>
        </w:numPr>
      </w:pPr>
      <w:r>
        <w:t>Chaque fichier à signer doit être signé individuellement, de telle sorte que chaque signature puisse être vérifiée indépendamment des autres,</w:t>
      </w:r>
    </w:p>
    <w:p w14:paraId="782CBB59" w14:textId="77777777" w:rsidR="00E82CE3" w:rsidRDefault="00793A01">
      <w:pPr>
        <w:pStyle w:val="RdaliaRetraitniveau1"/>
        <w:numPr>
          <w:ilvl w:val="0"/>
          <w:numId w:val="14"/>
        </w:numPr>
      </w:pPr>
      <w:r>
        <w:t>Un dossier zip signé n’est pas accepté comme équivalent à la signature de chaque document qui constitue le dossier zip,</w:t>
      </w:r>
    </w:p>
    <w:p w14:paraId="671C495B" w14:textId="77777777" w:rsidR="00E82CE3" w:rsidRDefault="00793A01">
      <w:pPr>
        <w:pStyle w:val="RdaliaRetraitniveau1"/>
        <w:numPr>
          <w:ilvl w:val="0"/>
          <w:numId w:val="14"/>
        </w:numPr>
      </w:pPr>
      <w:r>
        <w:t>Une signature manuscrite scannée n’a pas d’autre valeur que celle d’une copie et ne peut pas remplacer la signature électronique.</w:t>
      </w:r>
    </w:p>
    <w:p w14:paraId="433703FF" w14:textId="77777777" w:rsidR="00E82CE3" w:rsidRDefault="00E82CE3">
      <w:pPr>
        <w:pStyle w:val="RedaliaNormal"/>
      </w:pPr>
    </w:p>
    <w:p w14:paraId="30A1229B" w14:textId="77777777" w:rsidR="00E82CE3" w:rsidRDefault="00793A01">
      <w:pPr>
        <w:pStyle w:val="RedaliaNormal"/>
      </w:pPr>
      <w:r>
        <w:rPr>
          <w:u w:val="single"/>
        </w:rPr>
        <w:t>Copie de sauvegarde</w:t>
      </w:r>
      <w:r>
        <w:t xml:space="preserve"> :</w:t>
      </w:r>
    </w:p>
    <w:p w14:paraId="30B96D66" w14:textId="77777777" w:rsidR="00E82CE3" w:rsidRDefault="00E82CE3">
      <w:pPr>
        <w:pStyle w:val="RedaliaNormal"/>
      </w:pPr>
    </w:p>
    <w:p w14:paraId="54A6BAC5" w14:textId="010A4FEF" w:rsidR="00E82CE3" w:rsidRDefault="00793A01">
      <w:pPr>
        <w:pStyle w:val="RedaliaNormal"/>
      </w:pPr>
      <w:r>
        <w:t>Les candidats peuvent également transmettre, dans les délais impartis pour la remise des plis, une copie de sauvegarde sur support physique électronique (clé USB) ou sur support papier. Cette copie est transmise à l’adresse ci-dessous, sous pli scellé et comporte obligatoirement la mention : « copie de sauvegarde », l’identification de la procédure concernée et les coordonnées de l’entreprise :</w:t>
      </w:r>
    </w:p>
    <w:p w14:paraId="1B57F3CE" w14:textId="77777777" w:rsidR="00E82CE3" w:rsidRDefault="00793A01">
      <w:pPr>
        <w:pStyle w:val="RedaliaNormal"/>
        <w:jc w:val="center"/>
      </w:pPr>
      <w:r>
        <w:t>Division des Achats Groupe</w:t>
      </w:r>
    </w:p>
    <w:p w14:paraId="1830F051" w14:textId="77777777" w:rsidR="00E82CE3" w:rsidRDefault="00793A01">
      <w:pPr>
        <w:pStyle w:val="RedaliaNormal"/>
        <w:jc w:val="center"/>
      </w:pPr>
      <w:r>
        <w:t>5 Rue Roland Barthes</w:t>
      </w:r>
    </w:p>
    <w:p w14:paraId="28801C08" w14:textId="77777777" w:rsidR="00E82CE3" w:rsidRDefault="00793A01">
      <w:pPr>
        <w:pStyle w:val="RedaliaNormal"/>
        <w:jc w:val="center"/>
      </w:pPr>
      <w:r>
        <w:t>75012 Paris</w:t>
      </w:r>
    </w:p>
    <w:p w14:paraId="55C0391E" w14:textId="77777777" w:rsidR="00E82CE3" w:rsidRDefault="00793A01">
      <w:pPr>
        <w:pStyle w:val="RedaliaNormal"/>
        <w:jc w:val="center"/>
      </w:pPr>
      <w:r>
        <w:lastRenderedPageBreak/>
        <w:t>FRANCE</w:t>
      </w:r>
    </w:p>
    <w:p w14:paraId="4A5C2869" w14:textId="77777777" w:rsidR="00E82CE3" w:rsidRDefault="00E82CE3">
      <w:pPr>
        <w:pStyle w:val="RedaliaNormal"/>
      </w:pPr>
    </w:p>
    <w:p w14:paraId="4C872F4B" w14:textId="77777777" w:rsidR="00E82CE3" w:rsidRDefault="00793A01">
      <w:pPr>
        <w:pStyle w:val="RedaliaNormal"/>
      </w:pPr>
      <w:r>
        <w:t>Les documents de la copie de sauvegarde doivent être signés (pour les documents dont la signature est obligatoire). Si le support physique choisi est le support papier, la signature est manuscrite. Si le support physique choisi est électronique, la signature est électronique.</w:t>
      </w:r>
    </w:p>
    <w:p w14:paraId="792E2057" w14:textId="77777777" w:rsidR="00E82CE3" w:rsidRDefault="00E82CE3">
      <w:pPr>
        <w:pStyle w:val="RedaliaNormal"/>
      </w:pPr>
    </w:p>
    <w:p w14:paraId="799BB079" w14:textId="77777777" w:rsidR="00E82CE3" w:rsidRDefault="00793A01">
      <w:pPr>
        <w:pStyle w:val="RedaliaNormal"/>
      </w:pPr>
      <w:r>
        <w:t>Cette copie de sauvegarde pourra être ouverte dans les cas décrits à l’article 2 II de l’arrêté du 22 mars 2019 fixant les modalités de mise à disposition des documents de la consultation et de la copie de sauvegarde.</w:t>
      </w:r>
    </w:p>
    <w:p w14:paraId="64CE105C" w14:textId="77777777" w:rsidR="00E82CE3" w:rsidRDefault="00E82CE3">
      <w:pPr>
        <w:pStyle w:val="RedaliaNormal"/>
      </w:pPr>
    </w:p>
    <w:p w14:paraId="505683BF" w14:textId="77777777" w:rsidR="00E82CE3" w:rsidRDefault="00793A01">
      <w:pPr>
        <w:pStyle w:val="RedaliaNormal"/>
      </w:pPr>
      <w:r>
        <w:t>Les plis contenant la copie de sauvegarde, non ouverts, seront détruits à l’issue de la procédure par le pouvoir adjudicateur.</w:t>
      </w:r>
    </w:p>
    <w:p w14:paraId="22090690" w14:textId="77777777" w:rsidR="00E82CE3" w:rsidRDefault="00793A01">
      <w:pPr>
        <w:pStyle w:val="RedaliaTitre1"/>
      </w:pPr>
      <w:bookmarkStart w:id="56" w:name="_Toc79070503"/>
      <w:bookmarkStart w:id="57" w:name="_Toc196406052"/>
      <w:r>
        <w:t>Renseignements complémentaires</w:t>
      </w:r>
      <w:bookmarkEnd w:id="7"/>
      <w:bookmarkEnd w:id="56"/>
      <w:bookmarkEnd w:id="57"/>
    </w:p>
    <w:p w14:paraId="4C755D86" w14:textId="64B002DD" w:rsidR="00E82CE3" w:rsidRDefault="00793A01">
      <w:pPr>
        <w:pStyle w:val="RedaliaNormal"/>
      </w:pPr>
      <w:r>
        <w:t>Seules les demandes adressées au moins 8 jours avant la date limite de réception des offres feront l’objet d’une réponse de la part du pouvoir adjudicateur.</w:t>
      </w:r>
      <w:r w:rsidR="00D03058">
        <w:t xml:space="preserve"> Les demandes devront être transmises de manière électronique, exclusivement sur la plateforme de dématérialisation, sur l’URL suivante : https://www.marches-publics.gouv.fr/</w:t>
      </w:r>
    </w:p>
    <w:p w14:paraId="4D91BBA4" w14:textId="77777777" w:rsidR="00E82CE3" w:rsidRDefault="00793A01">
      <w:pPr>
        <w:pStyle w:val="RedaliaNormal"/>
      </w:pPr>
      <w:r>
        <w:t>Une réponse sera adressée au plus tard 6 jours avant la date fixée pour la réception des offres aux candidats ayant téléchargé le dossier de consultation sur la plateforme de dématérialisation après s'être préalablement identifiés</w:t>
      </w:r>
    </w:p>
    <w:p w14:paraId="6AD853DF" w14:textId="77777777" w:rsidR="00E82CE3" w:rsidRDefault="00793A01">
      <w:pPr>
        <w:pStyle w:val="RedaliaNormal"/>
      </w:pPr>
      <w:r>
        <w:t xml:space="preserve">Concernant les informations relatives à la remise des offres dématérialisées, il convient de se reporter à l’article </w:t>
      </w:r>
      <w:r>
        <w:rPr>
          <w:i/>
          <w:iCs/>
        </w:rPr>
        <w:t>Conditions d’envoi et de remise des candidatures et/ou des offres</w:t>
      </w:r>
      <w:r>
        <w:t xml:space="preserve"> du présent document.</w:t>
      </w:r>
    </w:p>
    <w:p w14:paraId="0816954A" w14:textId="77777777" w:rsidR="00E82CE3" w:rsidRDefault="00793A01">
      <w:pPr>
        <w:pStyle w:val="RedaliaTitre1"/>
      </w:pPr>
      <w:bookmarkStart w:id="58" w:name="_Toc196406053"/>
      <w:r>
        <w:t>Procédures de recours</w:t>
      </w:r>
      <w:bookmarkEnd w:id="58"/>
    </w:p>
    <w:p w14:paraId="6569F459" w14:textId="77777777" w:rsidR="00E82CE3" w:rsidRDefault="00793A01">
      <w:pPr>
        <w:pStyle w:val="RedaliaNormal"/>
      </w:pPr>
      <w:r>
        <w:t>Cette décision peut faire l’objet d’un recours devant le Tribunal administratif de Paris.</w:t>
      </w:r>
    </w:p>
    <w:p w14:paraId="2CCFEA93" w14:textId="77777777" w:rsidR="00E82CE3" w:rsidRDefault="00793A01">
      <w:pPr>
        <w:pStyle w:val="RedaliaNormal"/>
      </w:pPr>
      <w:r>
        <w:t>Les voies et délais des recours dont dispose le candidat sont :</w:t>
      </w:r>
    </w:p>
    <w:p w14:paraId="3F66E6FD" w14:textId="77777777" w:rsidR="00E82CE3" w:rsidRDefault="00793A01">
      <w:pPr>
        <w:pStyle w:val="RedaliaNormal"/>
      </w:pPr>
      <w:r>
        <w:t>- Référé précontractuel prévu aux articles L. 551-1 à L. 551-12 et R. 551-1 à R. 551-6 du Code de justice administrative (CJA), et pouvant être exercé avant la signature du contrat.</w:t>
      </w:r>
    </w:p>
    <w:p w14:paraId="69B84CBA" w14:textId="77777777" w:rsidR="00E82CE3" w:rsidRDefault="00793A01">
      <w:pPr>
        <w:pStyle w:val="RedaliaNormal"/>
      </w:pPr>
      <w:r>
        <w:t>- Référé contractuel prévu aux articles L. 551-13 à L. 551-23 et R. 551-7 à R. 551-10 du CJA, et pouvant être exercé dans les délais prévus à l'article R. 551-7 du CJA, après la signature du contrat.</w:t>
      </w:r>
    </w:p>
    <w:p w14:paraId="5E646D16" w14:textId="77777777" w:rsidR="00E82CE3" w:rsidRDefault="00793A01">
      <w:pPr>
        <w:pStyle w:val="RedaliaNormal"/>
      </w:pPr>
      <w:r>
        <w:t>- Recours de pleine juridiction en contestation de la validité du contrat, ouvert aux tiers dans le délai de 2 mois à compter de l’accomplissement des mesures de publicité appropriées.</w:t>
      </w:r>
    </w:p>
    <w:p w14:paraId="4DB9C5F3" w14:textId="77777777" w:rsidR="00E82CE3" w:rsidRDefault="00E82CE3">
      <w:pPr>
        <w:pageBreakBefore/>
        <w:widowControl/>
        <w:suppressAutoHyphens w:val="0"/>
      </w:pPr>
    </w:p>
    <w:p w14:paraId="6AEBD6C3" w14:textId="77777777" w:rsidR="00E82CE3" w:rsidRDefault="00E82CE3">
      <w:pPr>
        <w:pStyle w:val="RedaliaNormal"/>
      </w:pPr>
    </w:p>
    <w:p w14:paraId="749AEEB9" w14:textId="77777777" w:rsidR="00E82CE3" w:rsidRDefault="00793A01">
      <w:pPr>
        <w:pStyle w:val="RdaliaTitredossier"/>
      </w:pPr>
      <w:bookmarkStart w:id="59" w:name="_Toc170898465"/>
      <w:r>
        <w:t>ANNEXE : DECLARATION SUR L'HONNEUR</w:t>
      </w:r>
      <w:bookmarkEnd w:id="59"/>
    </w:p>
    <w:p w14:paraId="76C52105" w14:textId="77777777" w:rsidR="00E82CE3" w:rsidRDefault="00E82CE3">
      <w:pPr>
        <w:pStyle w:val="RedaliaNormal"/>
      </w:pPr>
    </w:p>
    <w:p w14:paraId="0390B9BA" w14:textId="77777777" w:rsidR="00E82CE3" w:rsidRDefault="00E82CE3">
      <w:pPr>
        <w:pStyle w:val="RedaliaNormal"/>
      </w:pPr>
    </w:p>
    <w:p w14:paraId="6231C040" w14:textId="77777777" w:rsidR="00E82CE3" w:rsidRDefault="00793A01">
      <w:pPr>
        <w:pStyle w:val="RedaliaNormal"/>
      </w:pPr>
      <w:r>
        <w:t>Je soussigné(e)</w:t>
      </w:r>
      <w:r>
        <w:tab/>
      </w:r>
    </w:p>
    <w:p w14:paraId="29A9537C" w14:textId="77777777" w:rsidR="00E82CE3" w:rsidRDefault="00793A01">
      <w:pPr>
        <w:pStyle w:val="RedaliaNormal"/>
      </w:pPr>
      <w:r>
        <w:t>Agissant en qualité de</w:t>
      </w:r>
      <w:r>
        <w:tab/>
      </w:r>
    </w:p>
    <w:p w14:paraId="5FF475AA" w14:textId="77777777" w:rsidR="00E82CE3" w:rsidRDefault="00793A01">
      <w:pPr>
        <w:pStyle w:val="RedaliaNormal"/>
      </w:pPr>
      <w:r>
        <w:t>Nom et adresse de l’entreprise :</w:t>
      </w:r>
      <w:r>
        <w:tab/>
      </w:r>
    </w:p>
    <w:p w14:paraId="4052EEBF" w14:textId="77777777" w:rsidR="00E82CE3" w:rsidRDefault="00793A01">
      <w:pPr>
        <w:pStyle w:val="RedaliaNormal"/>
      </w:pPr>
      <w:r>
        <w:tab/>
      </w:r>
    </w:p>
    <w:p w14:paraId="489DF61E" w14:textId="77777777" w:rsidR="00E82CE3" w:rsidRDefault="00793A01">
      <w:pPr>
        <w:pStyle w:val="RedaliaNormal"/>
      </w:pPr>
      <w:r>
        <w:tab/>
      </w:r>
    </w:p>
    <w:p w14:paraId="6EF7C9D7" w14:textId="77777777" w:rsidR="00E82CE3" w:rsidRDefault="00793A01">
      <w:pPr>
        <w:pStyle w:val="RedaliaNormal"/>
        <w:rPr>
          <w:b/>
          <w:bCs/>
        </w:rPr>
      </w:pPr>
      <w:r>
        <w:rPr>
          <w:b/>
          <w:bCs/>
        </w:rPr>
        <w:t>a) déclare sur l’honneur :</w:t>
      </w:r>
    </w:p>
    <w:p w14:paraId="3307415B" w14:textId="77777777" w:rsidR="00E82CE3" w:rsidRDefault="00793A01">
      <w:pPr>
        <w:pStyle w:val="RedaliaNormal"/>
      </w:pPr>
      <w:r>
        <w:t>☐ soit être le représentant légal de l’entreprise identifié dans les documents légaux</w:t>
      </w:r>
    </w:p>
    <w:p w14:paraId="38630A77" w14:textId="77777777" w:rsidR="00E82CE3" w:rsidRDefault="00793A01">
      <w:pPr>
        <w:pStyle w:val="RedaliaNormal"/>
      </w:pPr>
      <w:r>
        <w:t>☐ soit détenir une habilitation l’autorisant à engager l’entreprise dans le cadre de la présente   consultation (délégation de signature communiquée)</w:t>
      </w:r>
    </w:p>
    <w:p w14:paraId="4A9538DE" w14:textId="77777777" w:rsidR="00E82CE3" w:rsidRDefault="00E82CE3">
      <w:pPr>
        <w:pStyle w:val="RedaliaNormal"/>
        <w:rPr>
          <w:b/>
          <w:bCs/>
        </w:rPr>
      </w:pPr>
    </w:p>
    <w:p w14:paraId="59B37AFB" w14:textId="77777777" w:rsidR="00E82CE3" w:rsidRDefault="00793A01">
      <w:pPr>
        <w:pStyle w:val="RedaliaNormal"/>
        <w:rPr>
          <w:b/>
          <w:bCs/>
        </w:rPr>
      </w:pPr>
      <w:r>
        <w:rPr>
          <w:b/>
          <w:bCs/>
        </w:rPr>
        <w:t>b) déclare sur l’honneur ne pas entrer dans l’un des cas d’exclusion prévus aux articles L. 2141-1 à L. 2141-5 ou aux articles L. 2141-7 à L. 2141-10 du Code de la commande publique.</w:t>
      </w:r>
    </w:p>
    <w:p w14:paraId="5581E352" w14:textId="77777777" w:rsidR="00E82CE3" w:rsidRDefault="00E82CE3">
      <w:pPr>
        <w:pStyle w:val="RedaliaNormal"/>
      </w:pPr>
    </w:p>
    <w:p w14:paraId="72FAAF75" w14:textId="77777777" w:rsidR="00E82CE3" w:rsidRDefault="00793A01">
      <w:pPr>
        <w:pStyle w:val="RdaliaLgende"/>
        <w:ind w:left="0" w:firstLine="0"/>
      </w:pPr>
      <w:r>
        <w:t>N.B. :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162A0036" w14:textId="77777777" w:rsidR="00E82CE3" w:rsidRDefault="00E82CE3">
      <w:pPr>
        <w:pStyle w:val="RedaliaNormal"/>
      </w:pPr>
    </w:p>
    <w:p w14:paraId="6456CFE3" w14:textId="77777777" w:rsidR="00E82CE3" w:rsidRDefault="00793A01">
      <w:pPr>
        <w:pStyle w:val="RedaliaNormal"/>
        <w:tabs>
          <w:tab w:val="clear" w:pos="8505"/>
          <w:tab w:val="left" w:leader="dot" w:pos="9638"/>
        </w:tabs>
      </w:pPr>
      <w:r>
        <w:rPr>
          <w:b/>
        </w:rPr>
        <w:t>Documents de preuve disponibles en ligne </w:t>
      </w:r>
      <w:r>
        <w:t>:</w:t>
      </w:r>
    </w:p>
    <w:p w14:paraId="7172211C" w14:textId="77777777" w:rsidR="00E82CE3" w:rsidRDefault="00E82CE3">
      <w:pPr>
        <w:pStyle w:val="RedaliaNormal"/>
      </w:pPr>
    </w:p>
    <w:p w14:paraId="426D33B8" w14:textId="77777777" w:rsidR="00E82CE3" w:rsidRDefault="00793A01">
      <w:pPr>
        <w:pStyle w:val="RedaliaNormal"/>
      </w:pPr>
      <w:r>
        <w:t>Adresse internet à laquelle les documents justificatifs et moyens de preuve sont accessibles directement et gratuitement, ainsi que l’ensemble des renseignements nécessaires pour y accéder :</w:t>
      </w:r>
    </w:p>
    <w:p w14:paraId="7266001E" w14:textId="77777777" w:rsidR="00E82CE3" w:rsidRDefault="00793A01">
      <w:pPr>
        <w:pStyle w:val="RedaliaNormal"/>
      </w:pPr>
      <w:r>
        <w:t xml:space="preserve">- Adresse internet : </w:t>
      </w:r>
      <w:r>
        <w:tab/>
      </w:r>
    </w:p>
    <w:p w14:paraId="4E1F7CC7" w14:textId="77777777" w:rsidR="00E82CE3" w:rsidRDefault="00793A01">
      <w:pPr>
        <w:pStyle w:val="RedaliaNormal"/>
      </w:pPr>
      <w:r>
        <w:t> </w:t>
      </w:r>
    </w:p>
    <w:p w14:paraId="2902BE21" w14:textId="77777777" w:rsidR="00E82CE3" w:rsidRDefault="00793A01">
      <w:pPr>
        <w:pStyle w:val="RedaliaNormal"/>
      </w:pPr>
      <w:r>
        <w:t xml:space="preserve">- Renseignements nécessaires pour y accéder : </w:t>
      </w:r>
      <w:r>
        <w:tab/>
      </w:r>
    </w:p>
    <w:p w14:paraId="6944B7AD" w14:textId="77777777" w:rsidR="00E82CE3" w:rsidRDefault="00793A01">
      <w:pPr>
        <w:pStyle w:val="RedaliaNormal"/>
      </w:pPr>
      <w:r>
        <w:tab/>
      </w:r>
    </w:p>
    <w:p w14:paraId="0C4750D3" w14:textId="77777777" w:rsidR="00E82CE3" w:rsidRDefault="00793A01">
      <w:pPr>
        <w:pStyle w:val="RedaliaNormal"/>
      </w:pPr>
      <w:r>
        <w:tab/>
      </w:r>
    </w:p>
    <w:p w14:paraId="26F4747D" w14:textId="77777777" w:rsidR="00E82CE3" w:rsidRDefault="00E82CE3">
      <w:pPr>
        <w:pStyle w:val="RedaliaNormal"/>
      </w:pPr>
    </w:p>
    <w:p w14:paraId="0B259DFB" w14:textId="77777777" w:rsidR="00E82CE3" w:rsidRDefault="00793A01">
      <w:pPr>
        <w:pStyle w:val="RedaliaNormal"/>
        <w:rPr>
          <w:b/>
          <w:bCs/>
        </w:rPr>
      </w:pPr>
      <w:r>
        <w:rPr>
          <w:b/>
          <w:bCs/>
        </w:rPr>
        <w:t>c) déclare sur l’honneur que je ne suis pas, et qu'aucun des membres de mon groupement, ni de mes fournisseurs, entrepreneurs, consultants et sous-traitants ne figurent sur les listes de sanctions financières adoptées par les Nations Unies, l'Union Européenne et/ou la France, notamment au titre de la lutte contre le financement du terrorisme et contre les atteintes à la paix et à la sécurité internationales et m’engage à informer, sans délais l'Agence de tout changement de situation</w:t>
      </w:r>
    </w:p>
    <w:p w14:paraId="3D2A4CFF" w14:textId="77777777" w:rsidR="00E82CE3" w:rsidRDefault="00E82CE3">
      <w:pPr>
        <w:pStyle w:val="RedaliaNormal"/>
      </w:pPr>
    </w:p>
    <w:p w14:paraId="1AD8AFED" w14:textId="77777777" w:rsidR="00E82CE3" w:rsidRDefault="00793A01">
      <w:pPr>
        <w:pStyle w:val="RedaliaNormal"/>
        <w:tabs>
          <w:tab w:val="left" w:leader="dot" w:pos="4140"/>
        </w:tabs>
      </w:pPr>
      <w:r>
        <w:t>Fait à</w:t>
      </w:r>
      <w:r>
        <w:tab/>
      </w:r>
    </w:p>
    <w:p w14:paraId="05E1D00C" w14:textId="77777777" w:rsidR="00E82CE3" w:rsidRDefault="00793A01">
      <w:pPr>
        <w:pStyle w:val="RedaliaNormal"/>
        <w:tabs>
          <w:tab w:val="left" w:leader="dot" w:pos="4140"/>
        </w:tabs>
      </w:pPr>
      <w:r>
        <w:t>Le</w:t>
      </w:r>
      <w:r>
        <w:tab/>
      </w:r>
    </w:p>
    <w:p w14:paraId="42F711A2" w14:textId="77777777" w:rsidR="00E82CE3" w:rsidRDefault="00793A01">
      <w:pPr>
        <w:pStyle w:val="RedaliaNormal"/>
      </w:pPr>
      <w:r>
        <w:t>Signature</w:t>
      </w:r>
      <w:r>
        <w:tab/>
      </w:r>
    </w:p>
    <w:p w14:paraId="1B6C5350" w14:textId="159C23EA" w:rsidR="00E82CE3" w:rsidRDefault="00793A01">
      <w:pPr>
        <w:pStyle w:val="RedaliaNormal"/>
      </w:pPr>
      <w:r>
        <w:tab/>
      </w:r>
    </w:p>
    <w:p w14:paraId="221A83A7" w14:textId="77777777" w:rsidR="004120C3" w:rsidRDefault="004120C3">
      <w:pPr>
        <w:pStyle w:val="RedaliaNormal"/>
      </w:pPr>
    </w:p>
    <w:p w14:paraId="25C4E746" w14:textId="77777777" w:rsidR="00E82CE3" w:rsidRDefault="00793A01">
      <w:pPr>
        <w:pStyle w:val="RedaliaTitre1"/>
      </w:pPr>
      <w:bookmarkStart w:id="60" w:name="_Toc196406054"/>
      <w:r>
        <w:lastRenderedPageBreak/>
        <w:t>Annexe : Cadre de réponse imposé</w:t>
      </w:r>
      <w:bookmarkEnd w:id="60"/>
    </w:p>
    <w:p w14:paraId="0DE93FA6" w14:textId="77777777" w:rsidR="00E82CE3" w:rsidRDefault="00E82CE3">
      <w:pPr>
        <w:pStyle w:val="RedaliaNormal"/>
      </w:pPr>
    </w:p>
    <w:p w14:paraId="483B8744" w14:textId="40C43551" w:rsidR="00E82CE3" w:rsidRDefault="00793A01">
      <w:pPr>
        <w:pStyle w:val="RedaliaNormal"/>
      </w:pPr>
      <w:r>
        <w:t xml:space="preserve">Les réponses du Prestataire ne devront pas dépasser </w:t>
      </w:r>
      <w:r w:rsidR="003B2B8B">
        <w:rPr>
          <w:color w:val="FF0000"/>
        </w:rPr>
        <w:t>3</w:t>
      </w:r>
      <w:r>
        <w:rPr>
          <w:color w:val="FF0000"/>
        </w:rPr>
        <w:t>0</w:t>
      </w:r>
      <w:r>
        <w:t xml:space="preserve"> pages </w:t>
      </w:r>
      <w:r>
        <w:rPr>
          <w:color w:val="FF0000"/>
        </w:rPr>
        <w:t>MAXIMUM</w:t>
      </w:r>
    </w:p>
    <w:p w14:paraId="2EC10BE1" w14:textId="77777777" w:rsidR="00E82CE3" w:rsidRDefault="00E82CE3">
      <w:pPr>
        <w:pStyle w:val="RedaliaNormal"/>
      </w:pPr>
    </w:p>
    <w:p w14:paraId="3EF177DA" w14:textId="77777777" w:rsidR="00E82CE3" w:rsidRDefault="00793A01">
      <w:pPr>
        <w:pStyle w:val="RedaliaNormal"/>
      </w:pPr>
      <w:r>
        <w:t xml:space="preserve">Ces réponses devront impérativement respecter le canevas suivant : </w:t>
      </w:r>
    </w:p>
    <w:p w14:paraId="508FBA1D" w14:textId="77777777" w:rsidR="00E82CE3" w:rsidRDefault="00E82CE3">
      <w:pPr>
        <w:pStyle w:val="RedaliaNormal"/>
      </w:pPr>
    </w:p>
    <w:p w14:paraId="34E3D529" w14:textId="77777777" w:rsidR="00E82CE3" w:rsidRDefault="00793A01">
      <w:pPr>
        <w:pStyle w:val="RedaliaNormal"/>
        <w:shd w:val="clear" w:color="auto" w:fill="C5E0B3"/>
        <w:rPr>
          <w:b/>
          <w:bCs/>
          <w:sz w:val="24"/>
          <w:szCs w:val="24"/>
        </w:rPr>
      </w:pPr>
      <w:r>
        <w:rPr>
          <w:b/>
          <w:bCs/>
          <w:sz w:val="24"/>
          <w:szCs w:val="24"/>
        </w:rPr>
        <w:t>A - Résumé de votre offre</w:t>
      </w:r>
    </w:p>
    <w:p w14:paraId="23754B94" w14:textId="77777777" w:rsidR="00E82CE3" w:rsidRDefault="00E82CE3">
      <w:pPr>
        <w:pStyle w:val="RedaliaNormal"/>
      </w:pPr>
    </w:p>
    <w:p w14:paraId="65E143C1" w14:textId="77777777" w:rsidR="00E82CE3" w:rsidRDefault="00793A01">
      <w:pPr>
        <w:pStyle w:val="RedaliaNormal"/>
      </w:pPr>
      <w:r>
        <w:t>Compréhension des attentes de l'AFD</w:t>
      </w:r>
    </w:p>
    <w:p w14:paraId="0DF13EE6" w14:textId="77777777" w:rsidR="00E82CE3" w:rsidRDefault="00793A01">
      <w:pPr>
        <w:pStyle w:val="RedaliaNormal"/>
      </w:pPr>
      <w:r>
        <w:rPr>
          <w:b/>
          <w:bCs/>
        </w:rPr>
        <w:t>S</w:t>
      </w:r>
      <w:r>
        <w:t>ynthèse des étapes de votre intervention</w:t>
      </w:r>
    </w:p>
    <w:p w14:paraId="7B06B3B9" w14:textId="77777777" w:rsidR="00E82CE3" w:rsidRDefault="00793A01">
      <w:pPr>
        <w:pStyle w:val="RedaliaNormal"/>
      </w:pPr>
      <w:r>
        <w:t>Calendrier général de la mission</w:t>
      </w:r>
    </w:p>
    <w:p w14:paraId="4B29CCEC" w14:textId="77777777" w:rsidR="00E82CE3" w:rsidRDefault="00E82CE3">
      <w:pPr>
        <w:pStyle w:val="RedaliaNormal"/>
      </w:pPr>
    </w:p>
    <w:p w14:paraId="1DA7585F" w14:textId="77777777" w:rsidR="00E82CE3" w:rsidRDefault="00793A01">
      <w:pPr>
        <w:pStyle w:val="RedaliaNormal"/>
        <w:shd w:val="clear" w:color="auto" w:fill="C5E0B3"/>
      </w:pPr>
      <w:r>
        <w:rPr>
          <w:b/>
          <w:bCs/>
          <w:sz w:val="24"/>
          <w:szCs w:val="24"/>
        </w:rPr>
        <w:t xml:space="preserve">B - </w:t>
      </w:r>
      <w:r>
        <w:rPr>
          <w:b/>
          <w:u w:val="single"/>
        </w:rPr>
        <w:t>Méthodologie de suivi de la prestation</w:t>
      </w:r>
      <w:r>
        <w:t> </w:t>
      </w:r>
    </w:p>
    <w:p w14:paraId="37F5F7CC" w14:textId="77777777" w:rsidR="00E82CE3" w:rsidRDefault="00E82CE3">
      <w:pPr>
        <w:pStyle w:val="RedaliaNormal"/>
      </w:pPr>
    </w:p>
    <w:p w14:paraId="72302B4B" w14:textId="77777777" w:rsidR="00E82CE3" w:rsidRDefault="00793A01">
      <w:pPr>
        <w:widowControl/>
        <w:suppressAutoHyphens w:val="0"/>
        <w:textAlignment w:val="auto"/>
      </w:pPr>
      <w:r>
        <w:t xml:space="preserve">Un document de </w:t>
      </w:r>
      <w:r w:rsidRPr="00C45B61">
        <w:rPr>
          <w:color w:val="FF0000"/>
        </w:rPr>
        <w:t xml:space="preserve">2 pages </w:t>
      </w:r>
      <w:r>
        <w:t>maximum. Chaque prestataire explique la démarche avec laquelle il compte suivre la prestation opérée à l’AFD, de manière régulière et proactive.</w:t>
      </w:r>
    </w:p>
    <w:p w14:paraId="3CF9C273" w14:textId="77777777" w:rsidR="00E82CE3" w:rsidRDefault="00793A01">
      <w:pPr>
        <w:widowControl/>
        <w:suppressAutoHyphens w:val="0"/>
        <w:jc w:val="both"/>
        <w:textAlignment w:val="auto"/>
      </w:pPr>
      <w:r>
        <w:t>Valeur et Services Ajoutés</w:t>
      </w:r>
    </w:p>
    <w:p w14:paraId="54A58653" w14:textId="77777777" w:rsidR="00E82CE3" w:rsidRDefault="00E82CE3">
      <w:pPr>
        <w:pStyle w:val="RedaliaNormal"/>
      </w:pPr>
    </w:p>
    <w:p w14:paraId="6D1F021B" w14:textId="77777777" w:rsidR="00E82CE3" w:rsidRDefault="00793A01">
      <w:pPr>
        <w:pStyle w:val="RedaliaNormal"/>
        <w:shd w:val="clear" w:color="auto" w:fill="C5E0B3"/>
        <w:rPr>
          <w:b/>
          <w:bCs/>
          <w:sz w:val="24"/>
          <w:szCs w:val="24"/>
        </w:rPr>
      </w:pPr>
      <w:r>
        <w:rPr>
          <w:b/>
          <w:bCs/>
          <w:sz w:val="24"/>
          <w:szCs w:val="24"/>
        </w:rPr>
        <w:t>C - Description détaillée de votre offre</w:t>
      </w:r>
    </w:p>
    <w:p w14:paraId="59A0AB7C" w14:textId="77777777" w:rsidR="00E82CE3" w:rsidRDefault="00E82CE3">
      <w:pPr>
        <w:pStyle w:val="RedaliaNormal"/>
      </w:pPr>
    </w:p>
    <w:p w14:paraId="03DFA09F" w14:textId="77777777" w:rsidR="00E82CE3" w:rsidRDefault="00793A01">
      <w:pPr>
        <w:widowControl/>
        <w:suppressAutoHyphens w:val="0"/>
        <w:textAlignment w:val="auto"/>
      </w:pPr>
      <w:r>
        <w:t xml:space="preserve">Méthodologie (exemples de livrables, outils: planning, indicateurs, méthodologie projet …) : un document explicatif de </w:t>
      </w:r>
      <w:r w:rsidRPr="00C45B61">
        <w:rPr>
          <w:color w:val="FF0000"/>
        </w:rPr>
        <w:t>5 pages maximum</w:t>
      </w:r>
    </w:p>
    <w:p w14:paraId="3521AECE" w14:textId="77777777" w:rsidR="00E82CE3" w:rsidRDefault="00E82CE3">
      <w:pPr>
        <w:pStyle w:val="RedaliaNormal"/>
      </w:pPr>
    </w:p>
    <w:p w14:paraId="683BF3C5" w14:textId="77777777" w:rsidR="00E82CE3" w:rsidRDefault="00793A01">
      <w:pPr>
        <w:pStyle w:val="RedaliaNormal"/>
        <w:shd w:val="clear" w:color="auto" w:fill="C5E0B3"/>
        <w:rPr>
          <w:b/>
          <w:bCs/>
          <w:sz w:val="24"/>
          <w:szCs w:val="24"/>
        </w:rPr>
      </w:pPr>
      <w:r>
        <w:rPr>
          <w:b/>
          <w:bCs/>
          <w:sz w:val="24"/>
          <w:szCs w:val="24"/>
        </w:rPr>
        <w:t>D - Présentation de l’équipe qui interviendra sur la présente mission</w:t>
      </w:r>
    </w:p>
    <w:p w14:paraId="5F03ABB9" w14:textId="77777777" w:rsidR="00E82CE3" w:rsidRDefault="00E82CE3">
      <w:pPr>
        <w:pStyle w:val="RedaliaNormal"/>
      </w:pPr>
    </w:p>
    <w:p w14:paraId="2ADFCC46" w14:textId="77777777" w:rsidR="00E82CE3" w:rsidRDefault="00793A01">
      <w:pPr>
        <w:pStyle w:val="RedaliaNormal"/>
      </w:pPr>
      <w:r>
        <w:t xml:space="preserve">Moyens Humains : </w:t>
      </w:r>
    </w:p>
    <w:p w14:paraId="66AC5AC4" w14:textId="77777777" w:rsidR="00E82CE3" w:rsidRDefault="00793A01">
      <w:pPr>
        <w:pStyle w:val="RedaliaNormal"/>
      </w:pPr>
      <w:r>
        <w:t>Décrire la constitution de l’équipe et répartition des responsabilités entre ses membres</w:t>
      </w:r>
    </w:p>
    <w:p w14:paraId="7D22FA06" w14:textId="77777777" w:rsidR="00E82CE3" w:rsidRDefault="00793A01">
      <w:r>
        <w:t xml:space="preserve">Fournir des </w:t>
      </w:r>
      <w:proofErr w:type="spellStart"/>
      <w:r>
        <w:t>CVs</w:t>
      </w:r>
      <w:proofErr w:type="spellEnd"/>
      <w:r>
        <w:t xml:space="preserve"> (en guise d’exemples d’intervenants) tels que suit :</w:t>
      </w:r>
    </w:p>
    <w:p w14:paraId="41DEBCCE" w14:textId="77777777" w:rsidR="00E82CE3" w:rsidRDefault="00E82CE3"/>
    <w:p w14:paraId="18FDF1CC" w14:textId="77777777" w:rsidR="00E82CE3" w:rsidRDefault="00793A01">
      <w:pPr>
        <w:pStyle w:val="Paragraphedeliste"/>
        <w:widowControl/>
        <w:numPr>
          <w:ilvl w:val="2"/>
          <w:numId w:val="36"/>
        </w:numPr>
        <w:suppressAutoHyphens w:val="0"/>
        <w:spacing w:after="160" w:line="244" w:lineRule="auto"/>
        <w:textAlignment w:val="auto"/>
      </w:pPr>
      <w:r>
        <w:t xml:space="preserve">Expert : 3 </w:t>
      </w:r>
      <w:proofErr w:type="spellStart"/>
      <w:r>
        <w:t>CVs</w:t>
      </w:r>
      <w:proofErr w:type="spellEnd"/>
      <w:r>
        <w:t xml:space="preserve"> à fournir (chaque CV est limité à 2 pages)</w:t>
      </w:r>
    </w:p>
    <w:p w14:paraId="6131D31C" w14:textId="77777777" w:rsidR="00E82CE3" w:rsidRDefault="00793A01">
      <w:pPr>
        <w:pStyle w:val="Paragraphedeliste"/>
        <w:widowControl/>
        <w:numPr>
          <w:ilvl w:val="2"/>
          <w:numId w:val="36"/>
        </w:numPr>
        <w:suppressAutoHyphens w:val="0"/>
        <w:spacing w:after="160" w:line="244" w:lineRule="auto"/>
        <w:textAlignment w:val="auto"/>
      </w:pPr>
      <w:r>
        <w:t xml:space="preserve">Junior et Senior : 5 </w:t>
      </w:r>
      <w:proofErr w:type="spellStart"/>
      <w:r>
        <w:t>CVs</w:t>
      </w:r>
      <w:proofErr w:type="spellEnd"/>
      <w:r>
        <w:t xml:space="preserve"> </w:t>
      </w:r>
      <w:r>
        <w:rPr>
          <w:u w:val="single"/>
        </w:rPr>
        <w:t>par profil</w:t>
      </w:r>
      <w:r>
        <w:t xml:space="preserve"> (chaque CV limité à 2 pages max)</w:t>
      </w:r>
    </w:p>
    <w:p w14:paraId="4F7CB542" w14:textId="77777777" w:rsidR="00E82CE3" w:rsidRDefault="00793A01">
      <w:pPr>
        <w:pStyle w:val="RedaliaNormal"/>
        <w:shd w:val="clear" w:color="auto" w:fill="C5E0B3"/>
      </w:pPr>
      <w:r>
        <w:rPr>
          <w:b/>
          <w:bCs/>
          <w:sz w:val="24"/>
          <w:szCs w:val="24"/>
        </w:rPr>
        <w:t>E – RSE : Actions environnementales et sociales applicables à l’achat</w:t>
      </w:r>
    </w:p>
    <w:p w14:paraId="7E4287E1" w14:textId="77777777" w:rsidR="00E82CE3" w:rsidRDefault="00E82CE3">
      <w:pPr>
        <w:pStyle w:val="RedaliaNormal"/>
        <w:ind w:left="720"/>
      </w:pPr>
    </w:p>
    <w:p w14:paraId="5963B9F3" w14:textId="4BA85288" w:rsidR="00E82CE3" w:rsidRDefault="00793A01">
      <w:pPr>
        <w:pStyle w:val="RedaliaNormal"/>
      </w:pPr>
      <w:r>
        <w:t xml:space="preserve">Présenter les actions environnementales et sociales applicables à </w:t>
      </w:r>
      <w:r w:rsidR="00A1126B">
        <w:t>l</w:t>
      </w:r>
      <w:r>
        <w:t>‘achat (3 pages maximum) en complétant les tableaux liés aux Actions RSE (pages suivantes)</w:t>
      </w:r>
    </w:p>
    <w:p w14:paraId="61E178D1" w14:textId="77777777" w:rsidR="00E82CE3" w:rsidRDefault="00E82CE3">
      <w:pPr>
        <w:pStyle w:val="RedaliaNormal"/>
        <w:ind w:left="720"/>
      </w:pPr>
    </w:p>
    <w:p w14:paraId="21E4C617" w14:textId="77777777" w:rsidR="00E82CE3" w:rsidRDefault="00793A01">
      <w:pPr>
        <w:pStyle w:val="RedaliaNormal"/>
        <w:shd w:val="clear" w:color="auto" w:fill="C5E0B3"/>
        <w:rPr>
          <w:b/>
          <w:bCs/>
          <w:sz w:val="24"/>
          <w:szCs w:val="24"/>
        </w:rPr>
      </w:pPr>
      <w:r>
        <w:rPr>
          <w:b/>
          <w:bCs/>
          <w:sz w:val="24"/>
          <w:szCs w:val="24"/>
        </w:rPr>
        <w:t>F - Recommandations du prestataire pour la bonne réalisation de la mission</w:t>
      </w:r>
    </w:p>
    <w:p w14:paraId="609023DD" w14:textId="77777777" w:rsidR="00E82CE3" w:rsidRDefault="00E82CE3">
      <w:pPr>
        <w:pStyle w:val="RedaliaNormal"/>
        <w:widowControl/>
        <w:tabs>
          <w:tab w:val="clear" w:pos="8505"/>
        </w:tabs>
        <w:suppressAutoHyphens w:val="0"/>
        <w:ind w:left="720"/>
        <w:textAlignment w:val="auto"/>
      </w:pPr>
    </w:p>
    <w:p w14:paraId="14BCC861" w14:textId="77777777" w:rsidR="00E82CE3" w:rsidRDefault="00E82CE3">
      <w:pPr>
        <w:pStyle w:val="RedaliaNormal"/>
      </w:pPr>
    </w:p>
    <w:p w14:paraId="295FE4B7" w14:textId="77777777" w:rsidR="00E82CE3" w:rsidRDefault="00E82CE3">
      <w:pPr>
        <w:pageBreakBefore/>
        <w:widowControl/>
        <w:suppressAutoHyphens w:val="0"/>
      </w:pPr>
    </w:p>
    <w:p w14:paraId="5ED61227" w14:textId="77777777" w:rsidR="00E82CE3" w:rsidRPr="006970FA" w:rsidRDefault="00793A01" w:rsidP="00380369">
      <w:pPr>
        <w:pStyle w:val="RedaliaTitre1"/>
      </w:pPr>
      <w:bookmarkStart w:id="61" w:name="_Toc196406055"/>
      <w:r w:rsidRPr="006970FA">
        <w:t>Actions RSE</w:t>
      </w:r>
      <w:bookmarkEnd w:id="61"/>
    </w:p>
    <w:p w14:paraId="55833B8E" w14:textId="77777777" w:rsidR="00E82CE3" w:rsidRDefault="00793A01">
      <w:pPr>
        <w:pStyle w:val="RedaliaNormal"/>
      </w:pPr>
      <w:r>
        <w:rPr>
          <w:b/>
          <w:color w:val="FF0000"/>
        </w:rPr>
        <w:t>A REMPLIR OBLIGATOIREMENT</w:t>
      </w:r>
    </w:p>
    <w:p w14:paraId="410F7874" w14:textId="77777777" w:rsidR="00221FC6" w:rsidRDefault="00221FC6" w:rsidP="00221FC6">
      <w:bookmarkStart w:id="62" w:name="_Toc168382997"/>
      <w:bookmarkStart w:id="63" w:name="_Toc168399430"/>
      <w:bookmarkStart w:id="64" w:name="_Toc169013472"/>
      <w:bookmarkStart w:id="65" w:name="_Toc169014586"/>
    </w:p>
    <w:bookmarkEnd w:id="62"/>
    <w:bookmarkEnd w:id="63"/>
    <w:bookmarkEnd w:id="64"/>
    <w:bookmarkEnd w:id="65"/>
    <w:p w14:paraId="4EE0C9CD" w14:textId="77777777" w:rsidR="00C95A8E" w:rsidRDefault="00C95A8E" w:rsidP="00C95A8E">
      <w:r w:rsidRPr="00221FC6">
        <w:t>La capacité à se conformer aux exigences</w:t>
      </w:r>
      <w:r>
        <w:t xml:space="preserve"> environnementales et sociales </w:t>
      </w:r>
      <w:r w:rsidRPr="00221FC6">
        <w:t>sera notée dans le</w:t>
      </w:r>
      <w:r>
        <w:t xml:space="preserve"> critère d’attribution RSE du Règlement de consultation.</w:t>
      </w:r>
    </w:p>
    <w:p w14:paraId="20AA966A" w14:textId="77777777" w:rsidR="00C95A8E" w:rsidRDefault="00C95A8E" w:rsidP="00C95A8E"/>
    <w:p w14:paraId="4B592B49" w14:textId="77777777" w:rsidR="00C95A8E" w:rsidRPr="007B3E54" w:rsidRDefault="00C95A8E" w:rsidP="007B3E54">
      <w:pPr>
        <w:pStyle w:val="Titre2"/>
        <w:ind w:firstLine="360"/>
        <w:rPr>
          <w:sz w:val="22"/>
        </w:rPr>
      </w:pPr>
      <w:bookmarkStart w:id="66" w:name="_Toc164762460"/>
      <w:bookmarkStart w:id="67" w:name="_Toc196406056"/>
      <w:r w:rsidRPr="007B3E54">
        <w:rPr>
          <w:sz w:val="22"/>
        </w:rPr>
        <w:t>Spécification technique environnementale : exigences pour le climat</w:t>
      </w:r>
      <w:bookmarkEnd w:id="66"/>
      <w:bookmarkEnd w:id="67"/>
    </w:p>
    <w:p w14:paraId="36DE7400" w14:textId="77777777" w:rsidR="00C95A8E" w:rsidRDefault="00C95A8E" w:rsidP="00C95A8E">
      <w:pPr>
        <w:ind w:firstLine="708"/>
      </w:pPr>
    </w:p>
    <w:p w14:paraId="0F14EDBC" w14:textId="77777777" w:rsidR="00C95A8E" w:rsidRDefault="00C95A8E" w:rsidP="00C95A8E">
      <w:r>
        <w:t xml:space="preserve">Le soumissionnaire devra : </w:t>
      </w:r>
    </w:p>
    <w:p w14:paraId="4EDCD46F" w14:textId="77777777" w:rsidR="00F819D2" w:rsidRDefault="00F819D2" w:rsidP="00F819D2"/>
    <w:p w14:paraId="08CE8783" w14:textId="41C70046" w:rsidR="00F819D2" w:rsidRDefault="00C95A8E" w:rsidP="00F819D2">
      <w:pPr>
        <w:pStyle w:val="Paragraphedeliste"/>
        <w:widowControl/>
        <w:numPr>
          <w:ilvl w:val="1"/>
          <w:numId w:val="37"/>
        </w:numPr>
        <w:suppressAutoHyphens w:val="0"/>
        <w:spacing w:after="160"/>
        <w:textAlignment w:val="auto"/>
      </w:pPr>
      <w:r>
        <w:t>Mettre</w:t>
      </w:r>
      <w:r w:rsidR="00F819D2">
        <w:t xml:space="preserve"> en œuvre des actions de réduction des émissions carbone qui s’appliquent à la prestation</w:t>
      </w:r>
    </w:p>
    <w:p w14:paraId="76315041" w14:textId="77777777" w:rsidR="00F819D2" w:rsidRDefault="00F819D2" w:rsidP="00F819D2">
      <w:pPr>
        <w:pStyle w:val="Paragraphedeliste"/>
        <w:widowControl/>
        <w:numPr>
          <w:ilvl w:val="1"/>
          <w:numId w:val="37"/>
        </w:numPr>
        <w:suppressAutoHyphens w:val="0"/>
        <w:spacing w:after="160"/>
        <w:textAlignment w:val="auto"/>
      </w:pPr>
      <w:r>
        <w:t xml:space="preserve">Être en mesure de calculer </w:t>
      </w:r>
      <w:proofErr w:type="gramStart"/>
      <w:r>
        <w:t>les émissions carbone</w:t>
      </w:r>
      <w:proofErr w:type="gramEnd"/>
      <w:r>
        <w:t xml:space="preserve"> de l’achat. La méthodologie de calcul des émissions carbone devra être décrite.</w:t>
      </w:r>
    </w:p>
    <w:p w14:paraId="342B405E" w14:textId="77777777" w:rsidR="00F819D2" w:rsidRDefault="00F819D2" w:rsidP="00F819D2"/>
    <w:p w14:paraId="7A512904" w14:textId="77777777" w:rsidR="00F819D2" w:rsidRDefault="00F819D2" w:rsidP="00F819D2">
      <w:r>
        <w:t xml:space="preserve">Le soumissionnaire indique ses actions dans le tableau suivant, ainsi que sa capacité à calculer </w:t>
      </w:r>
      <w:proofErr w:type="gramStart"/>
      <w:r>
        <w:t>les émissions carbone</w:t>
      </w:r>
      <w:proofErr w:type="gramEnd"/>
      <w:r>
        <w:t xml:space="preserve"> de la prestation :</w:t>
      </w:r>
    </w:p>
    <w:p w14:paraId="169F7A9D" w14:textId="77777777" w:rsidR="00F819D2" w:rsidRDefault="00F819D2" w:rsidP="00F819D2"/>
    <w:tbl>
      <w:tblPr>
        <w:tblW w:w="9628" w:type="dxa"/>
        <w:tblCellMar>
          <w:left w:w="10" w:type="dxa"/>
          <w:right w:w="10" w:type="dxa"/>
        </w:tblCellMar>
        <w:tblLook w:val="0000" w:firstRow="0" w:lastRow="0" w:firstColumn="0" w:lastColumn="0" w:noHBand="0" w:noVBand="0"/>
      </w:tblPr>
      <w:tblGrid>
        <w:gridCol w:w="4673"/>
        <w:gridCol w:w="4955"/>
      </w:tblGrid>
      <w:tr w:rsidR="00F819D2" w14:paraId="6F4650F4" w14:textId="77777777" w:rsidTr="00AC35D7">
        <w:tc>
          <w:tcPr>
            <w:tcW w:w="4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F8BC2" w14:textId="77777777" w:rsidR="00F819D2" w:rsidRDefault="00F819D2" w:rsidP="00AC35D7">
            <w:pPr>
              <w:rPr>
                <w:b/>
              </w:rPr>
            </w:pPr>
            <w:r>
              <w:rPr>
                <w:b/>
              </w:rPr>
              <w:t>Actions de réduction des émissions carbone</w:t>
            </w:r>
          </w:p>
        </w:tc>
        <w:tc>
          <w:tcPr>
            <w:tcW w:w="4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11908E" w14:textId="77777777" w:rsidR="00F819D2" w:rsidRDefault="00F819D2" w:rsidP="00AC35D7"/>
          <w:p w14:paraId="62E373D2" w14:textId="77777777" w:rsidR="00F819D2" w:rsidRDefault="00F819D2" w:rsidP="00AC35D7"/>
          <w:p w14:paraId="4ADF3021" w14:textId="77777777" w:rsidR="00F819D2" w:rsidRDefault="00F819D2" w:rsidP="00AC35D7"/>
        </w:tc>
      </w:tr>
      <w:tr w:rsidR="00F819D2" w14:paraId="43165FFF" w14:textId="77777777" w:rsidTr="00AC35D7">
        <w:tc>
          <w:tcPr>
            <w:tcW w:w="4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CA137" w14:textId="77777777" w:rsidR="00F819D2" w:rsidRDefault="00F819D2" w:rsidP="00AC35D7">
            <w:pPr>
              <w:rPr>
                <w:b/>
              </w:rPr>
            </w:pPr>
            <w:r>
              <w:rPr>
                <w:b/>
              </w:rPr>
              <w:t>Capacité à calculer les émissions carbone de la prestation et méthodologie utilisée</w:t>
            </w:r>
          </w:p>
        </w:tc>
        <w:tc>
          <w:tcPr>
            <w:tcW w:w="4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E1AF7E" w14:textId="77777777" w:rsidR="00F819D2" w:rsidRDefault="00F819D2" w:rsidP="00AC35D7"/>
        </w:tc>
      </w:tr>
    </w:tbl>
    <w:p w14:paraId="4C6D90B4" w14:textId="77777777" w:rsidR="00F819D2" w:rsidRDefault="00F819D2" w:rsidP="00F819D2"/>
    <w:p w14:paraId="225525C8" w14:textId="77777777" w:rsidR="00F819D2" w:rsidRDefault="00F819D2" w:rsidP="00F819D2">
      <w:pPr>
        <w:ind w:left="360"/>
      </w:pPr>
      <w:r>
        <w:t xml:space="preserve">Le titulaire communique à l’AFD un compte-rendu des actions effectivement mises en place pour la réduction des émissions carbone, ainsi que </w:t>
      </w:r>
      <w:proofErr w:type="gramStart"/>
      <w:r>
        <w:t>les émissions carbone</w:t>
      </w:r>
      <w:proofErr w:type="gramEnd"/>
      <w:r>
        <w:t xml:space="preserve"> de l’achat pour chaque année civile couverte pour le marché. </w:t>
      </w:r>
    </w:p>
    <w:p w14:paraId="37971BB6" w14:textId="77777777" w:rsidR="00F819D2" w:rsidRDefault="00F819D2" w:rsidP="00F819D2">
      <w:pPr>
        <w:ind w:left="360"/>
      </w:pPr>
    </w:p>
    <w:p w14:paraId="3B0ED57B" w14:textId="77777777" w:rsidR="00F819D2" w:rsidRDefault="00F819D2" w:rsidP="00F819D2">
      <w:pPr>
        <w:ind w:left="360"/>
      </w:pPr>
      <w:r>
        <w:t>Ces informations seront communiquées sur demande de l’AFD.</w:t>
      </w:r>
    </w:p>
    <w:p w14:paraId="4320AAA6" w14:textId="77777777" w:rsidR="00F819D2" w:rsidRDefault="00F819D2" w:rsidP="00F819D2"/>
    <w:p w14:paraId="573F6969" w14:textId="77777777" w:rsidR="00F819D2" w:rsidRDefault="00F819D2" w:rsidP="00F819D2">
      <w:pPr>
        <w:pStyle w:val="Titre2"/>
        <w:ind w:firstLine="360"/>
        <w:rPr>
          <w:sz w:val="22"/>
        </w:rPr>
      </w:pPr>
      <w:bookmarkStart w:id="68" w:name="_Toc168382998"/>
      <w:bookmarkStart w:id="69" w:name="_Toc168399431"/>
      <w:bookmarkStart w:id="70" w:name="_Toc169013473"/>
      <w:bookmarkStart w:id="71" w:name="_Toc169014587"/>
      <w:bookmarkStart w:id="72" w:name="_Toc194503265"/>
      <w:bookmarkStart w:id="73" w:name="_Toc196406057"/>
      <w:r>
        <w:rPr>
          <w:sz w:val="22"/>
        </w:rPr>
        <w:t>Conditions d’exécution sociales</w:t>
      </w:r>
      <w:bookmarkEnd w:id="68"/>
      <w:bookmarkEnd w:id="69"/>
      <w:bookmarkEnd w:id="70"/>
      <w:bookmarkEnd w:id="71"/>
      <w:bookmarkEnd w:id="72"/>
      <w:bookmarkEnd w:id="73"/>
      <w:r>
        <w:rPr>
          <w:sz w:val="22"/>
        </w:rPr>
        <w:t xml:space="preserve"> </w:t>
      </w:r>
    </w:p>
    <w:p w14:paraId="36BBC972" w14:textId="77777777" w:rsidR="00F819D2" w:rsidRPr="001E22C2" w:rsidRDefault="00F819D2" w:rsidP="00F819D2">
      <w:pPr>
        <w:rPr>
          <w:u w:val="single"/>
        </w:rPr>
      </w:pPr>
      <w:r w:rsidRPr="001E22C2">
        <w:rPr>
          <w:u w:val="single"/>
        </w:rPr>
        <w:t>Egalité professionnelle femmes-hommes</w:t>
      </w:r>
    </w:p>
    <w:p w14:paraId="5D2BEE42" w14:textId="77777777" w:rsidR="00F819D2" w:rsidRDefault="00F819D2" w:rsidP="00F819D2">
      <w:pPr>
        <w:ind w:left="360"/>
      </w:pPr>
    </w:p>
    <w:p w14:paraId="79603DA1" w14:textId="77777777" w:rsidR="00F819D2" w:rsidRDefault="00F819D2" w:rsidP="00F819D2">
      <w:pPr>
        <w:ind w:left="360"/>
      </w:pPr>
      <w:r>
        <w:t>Le soumissionnaire décrit dans son mémoire technique les actions favorisant l'atteinte de l'égalité professionnelle femmes hommes qui seront applicables à l’achat, ainsi que les indicateurs associés. Le soumissionnaire devra indiquer 2 ou 3 actions au total avec pour chacune un indicateur.</w:t>
      </w:r>
    </w:p>
    <w:p w14:paraId="7C2939A7" w14:textId="77777777" w:rsidR="00F819D2" w:rsidRDefault="00F819D2" w:rsidP="00F819D2">
      <w:pPr>
        <w:ind w:left="360"/>
      </w:pPr>
    </w:p>
    <w:p w14:paraId="5495B8B9" w14:textId="77777777" w:rsidR="00F819D2" w:rsidRDefault="00F819D2" w:rsidP="00F819D2">
      <w:pPr>
        <w:ind w:left="360"/>
      </w:pPr>
      <w:r>
        <w:t>Le soumissionnaire indique ses actions dans le tableau suivant, sur les lignes correspondant à leurs thèmes :</w:t>
      </w:r>
    </w:p>
    <w:p w14:paraId="0EDC7132" w14:textId="77777777" w:rsidR="00F819D2" w:rsidRDefault="00F819D2" w:rsidP="00F819D2">
      <w:pPr>
        <w:rPr>
          <w:rFonts w:ascii="Century Gothic" w:hAnsi="Century Gothic"/>
          <w:sz w:val="20"/>
        </w:rPr>
      </w:pPr>
    </w:p>
    <w:tbl>
      <w:tblPr>
        <w:tblW w:w="9628" w:type="dxa"/>
        <w:tblCellMar>
          <w:left w:w="10" w:type="dxa"/>
          <w:right w:w="10" w:type="dxa"/>
        </w:tblCellMar>
        <w:tblLook w:val="0000" w:firstRow="0" w:lastRow="0" w:firstColumn="0" w:lastColumn="0" w:noHBand="0" w:noVBand="0"/>
      </w:tblPr>
      <w:tblGrid>
        <w:gridCol w:w="3387"/>
        <w:gridCol w:w="4949"/>
        <w:gridCol w:w="1292"/>
      </w:tblGrid>
      <w:tr w:rsidR="00F819D2" w14:paraId="185E83C1" w14:textId="77777777" w:rsidTr="00AC35D7">
        <w:tc>
          <w:tcPr>
            <w:tcW w:w="3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F326D" w14:textId="77777777" w:rsidR="00F819D2" w:rsidRDefault="00F819D2" w:rsidP="00AC35D7">
            <w:pPr>
              <w:autoSpaceDE w:val="0"/>
              <w:textAlignment w:val="auto"/>
              <w:rPr>
                <w:rFonts w:ascii="Century Gothic" w:hAnsi="Century Gothic"/>
                <w:b/>
                <w:sz w:val="20"/>
                <w:szCs w:val="22"/>
                <w:lang w:val="en-US" w:eastAsia="en-US"/>
              </w:rPr>
            </w:pPr>
            <w:proofErr w:type="spellStart"/>
            <w:r>
              <w:rPr>
                <w:rFonts w:ascii="Century Gothic" w:hAnsi="Century Gothic"/>
                <w:b/>
                <w:sz w:val="20"/>
                <w:szCs w:val="22"/>
                <w:lang w:val="en-US" w:eastAsia="en-US"/>
              </w:rPr>
              <w:t>Thèmes</w:t>
            </w:r>
            <w:proofErr w:type="spellEnd"/>
          </w:p>
        </w:tc>
        <w:tc>
          <w:tcPr>
            <w:tcW w:w="49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E6055" w14:textId="77777777" w:rsidR="00F819D2" w:rsidRDefault="00F819D2" w:rsidP="00AC35D7">
            <w:pPr>
              <w:autoSpaceDE w:val="0"/>
              <w:textAlignment w:val="auto"/>
              <w:rPr>
                <w:rFonts w:ascii="Century Gothic" w:hAnsi="Century Gothic"/>
                <w:b/>
                <w:sz w:val="20"/>
                <w:szCs w:val="22"/>
                <w:lang w:eastAsia="en-US"/>
              </w:rPr>
            </w:pPr>
            <w:r>
              <w:rPr>
                <w:rFonts w:ascii="Century Gothic" w:hAnsi="Century Gothic"/>
                <w:b/>
                <w:sz w:val="20"/>
                <w:szCs w:val="22"/>
                <w:lang w:eastAsia="en-US"/>
              </w:rPr>
              <w:t>Actions relatives à l’atteinte de l’égalité professionnelle hommes femmes</w:t>
            </w: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26376" w14:textId="77777777" w:rsidR="00F819D2" w:rsidRDefault="00F819D2" w:rsidP="00AC35D7">
            <w:pPr>
              <w:autoSpaceDE w:val="0"/>
              <w:textAlignment w:val="auto"/>
              <w:rPr>
                <w:rFonts w:ascii="Century Gothic" w:hAnsi="Century Gothic"/>
                <w:b/>
                <w:sz w:val="20"/>
                <w:szCs w:val="22"/>
                <w:lang w:val="en-US" w:eastAsia="en-US"/>
              </w:rPr>
            </w:pPr>
            <w:proofErr w:type="spellStart"/>
            <w:r>
              <w:rPr>
                <w:rFonts w:ascii="Century Gothic" w:hAnsi="Century Gothic"/>
                <w:b/>
                <w:sz w:val="20"/>
                <w:szCs w:val="22"/>
                <w:lang w:val="en-US" w:eastAsia="en-US"/>
              </w:rPr>
              <w:t>Indicateurs</w:t>
            </w:r>
            <w:proofErr w:type="spellEnd"/>
            <w:r>
              <w:rPr>
                <w:rFonts w:ascii="Century Gothic" w:hAnsi="Century Gothic"/>
                <w:b/>
                <w:sz w:val="20"/>
                <w:szCs w:val="22"/>
                <w:lang w:val="en-US" w:eastAsia="en-US"/>
              </w:rPr>
              <w:t xml:space="preserve"> </w:t>
            </w:r>
            <w:proofErr w:type="spellStart"/>
            <w:r>
              <w:rPr>
                <w:rFonts w:ascii="Century Gothic" w:hAnsi="Century Gothic"/>
                <w:b/>
                <w:sz w:val="20"/>
                <w:szCs w:val="22"/>
                <w:lang w:val="en-US" w:eastAsia="en-US"/>
              </w:rPr>
              <w:t>associés</w:t>
            </w:r>
            <w:proofErr w:type="spellEnd"/>
          </w:p>
        </w:tc>
      </w:tr>
      <w:tr w:rsidR="00F819D2" w14:paraId="39ECB244" w14:textId="77777777" w:rsidTr="00AC35D7">
        <w:tc>
          <w:tcPr>
            <w:tcW w:w="3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14D70" w14:textId="77777777" w:rsidR="00F819D2" w:rsidRDefault="00F819D2" w:rsidP="00AC35D7">
            <w:pPr>
              <w:autoSpaceDE w:val="0"/>
              <w:textAlignment w:val="auto"/>
              <w:rPr>
                <w:rFonts w:ascii="Century Gothic" w:hAnsi="Century Gothic"/>
                <w:sz w:val="20"/>
                <w:szCs w:val="22"/>
                <w:lang w:val="en-US" w:eastAsia="en-US"/>
              </w:rPr>
            </w:pPr>
            <w:proofErr w:type="spellStart"/>
            <w:r>
              <w:rPr>
                <w:rFonts w:ascii="Century Gothic" w:hAnsi="Century Gothic"/>
                <w:sz w:val="20"/>
                <w:szCs w:val="22"/>
                <w:lang w:val="en-US" w:eastAsia="en-US"/>
              </w:rPr>
              <w:t>Embauche</w:t>
            </w:r>
            <w:proofErr w:type="spellEnd"/>
          </w:p>
        </w:tc>
        <w:tc>
          <w:tcPr>
            <w:tcW w:w="49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4C915" w14:textId="77777777" w:rsidR="00F819D2" w:rsidRDefault="00F819D2" w:rsidP="00AC35D7">
            <w:pPr>
              <w:autoSpaceDE w:val="0"/>
              <w:textAlignment w:val="auto"/>
              <w:rPr>
                <w:rFonts w:ascii="Century Gothic" w:hAnsi="Century Gothic"/>
                <w:b/>
                <w:sz w:val="20"/>
                <w:szCs w:val="22"/>
                <w:lang w:val="en-US" w:eastAsia="en-US"/>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30D2A" w14:textId="77777777" w:rsidR="00F819D2" w:rsidRDefault="00F819D2" w:rsidP="00AC35D7">
            <w:pPr>
              <w:autoSpaceDE w:val="0"/>
              <w:textAlignment w:val="auto"/>
              <w:rPr>
                <w:rFonts w:ascii="Century Gothic" w:hAnsi="Century Gothic"/>
                <w:b/>
                <w:sz w:val="20"/>
                <w:szCs w:val="22"/>
                <w:lang w:val="en-US" w:eastAsia="en-US"/>
              </w:rPr>
            </w:pPr>
          </w:p>
        </w:tc>
      </w:tr>
      <w:tr w:rsidR="00F819D2" w14:paraId="3A25893F" w14:textId="77777777" w:rsidTr="00AC35D7">
        <w:tc>
          <w:tcPr>
            <w:tcW w:w="3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FA269" w14:textId="77777777" w:rsidR="00F819D2" w:rsidRDefault="00F819D2" w:rsidP="00AC35D7">
            <w:pPr>
              <w:autoSpaceDE w:val="0"/>
              <w:textAlignment w:val="auto"/>
              <w:rPr>
                <w:rFonts w:ascii="Century Gothic" w:hAnsi="Century Gothic"/>
                <w:sz w:val="20"/>
                <w:szCs w:val="22"/>
                <w:lang w:val="en-US" w:eastAsia="en-US"/>
              </w:rPr>
            </w:pPr>
            <w:proofErr w:type="spellStart"/>
            <w:r>
              <w:rPr>
                <w:rFonts w:ascii="Century Gothic" w:hAnsi="Century Gothic"/>
                <w:sz w:val="20"/>
                <w:szCs w:val="22"/>
                <w:lang w:val="en-US" w:eastAsia="en-US"/>
              </w:rPr>
              <w:t>Egalité</w:t>
            </w:r>
            <w:proofErr w:type="spellEnd"/>
            <w:r>
              <w:rPr>
                <w:rFonts w:ascii="Century Gothic" w:hAnsi="Century Gothic"/>
                <w:sz w:val="20"/>
                <w:szCs w:val="22"/>
                <w:lang w:val="en-US" w:eastAsia="en-US"/>
              </w:rPr>
              <w:t xml:space="preserve"> </w:t>
            </w:r>
            <w:proofErr w:type="spellStart"/>
            <w:r>
              <w:rPr>
                <w:rFonts w:ascii="Century Gothic" w:hAnsi="Century Gothic"/>
                <w:sz w:val="20"/>
                <w:szCs w:val="22"/>
                <w:lang w:val="en-US" w:eastAsia="en-US"/>
              </w:rPr>
              <w:t>salariale</w:t>
            </w:r>
            <w:proofErr w:type="spellEnd"/>
          </w:p>
        </w:tc>
        <w:tc>
          <w:tcPr>
            <w:tcW w:w="49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66977" w14:textId="77777777" w:rsidR="00F819D2" w:rsidRDefault="00F819D2" w:rsidP="00AC35D7">
            <w:pPr>
              <w:autoSpaceDE w:val="0"/>
              <w:textAlignment w:val="auto"/>
              <w:rPr>
                <w:rFonts w:ascii="Century Gothic" w:hAnsi="Century Gothic"/>
                <w:b/>
                <w:sz w:val="20"/>
                <w:szCs w:val="22"/>
                <w:lang w:val="en-US" w:eastAsia="en-US"/>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8D379" w14:textId="77777777" w:rsidR="00F819D2" w:rsidRDefault="00F819D2" w:rsidP="00AC35D7">
            <w:pPr>
              <w:autoSpaceDE w:val="0"/>
              <w:textAlignment w:val="auto"/>
              <w:rPr>
                <w:rFonts w:ascii="Century Gothic" w:hAnsi="Century Gothic"/>
                <w:b/>
                <w:sz w:val="20"/>
                <w:szCs w:val="22"/>
                <w:lang w:val="en-US" w:eastAsia="en-US"/>
              </w:rPr>
            </w:pPr>
          </w:p>
        </w:tc>
      </w:tr>
      <w:tr w:rsidR="00F819D2" w14:paraId="48CF6A6B" w14:textId="77777777" w:rsidTr="00AC35D7">
        <w:tc>
          <w:tcPr>
            <w:tcW w:w="3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F09E2" w14:textId="77777777" w:rsidR="00F819D2" w:rsidRDefault="00F819D2" w:rsidP="00AC35D7">
            <w:pPr>
              <w:autoSpaceDE w:val="0"/>
              <w:textAlignment w:val="auto"/>
              <w:rPr>
                <w:rFonts w:ascii="Century Gothic" w:hAnsi="Century Gothic"/>
                <w:sz w:val="20"/>
                <w:szCs w:val="22"/>
                <w:lang w:val="en-US" w:eastAsia="en-US"/>
              </w:rPr>
            </w:pPr>
            <w:r>
              <w:rPr>
                <w:rFonts w:ascii="Century Gothic" w:hAnsi="Century Gothic"/>
                <w:sz w:val="20"/>
                <w:szCs w:val="22"/>
                <w:lang w:val="en-US" w:eastAsia="en-US"/>
              </w:rPr>
              <w:t>Formation</w:t>
            </w:r>
          </w:p>
        </w:tc>
        <w:tc>
          <w:tcPr>
            <w:tcW w:w="49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FAEE54" w14:textId="77777777" w:rsidR="00F819D2" w:rsidRDefault="00F819D2" w:rsidP="00AC35D7">
            <w:pPr>
              <w:autoSpaceDE w:val="0"/>
              <w:textAlignment w:val="auto"/>
              <w:rPr>
                <w:rFonts w:ascii="Century Gothic" w:hAnsi="Century Gothic"/>
                <w:b/>
                <w:sz w:val="20"/>
                <w:szCs w:val="22"/>
                <w:lang w:val="en-US" w:eastAsia="en-US"/>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5F471" w14:textId="77777777" w:rsidR="00F819D2" w:rsidRDefault="00F819D2" w:rsidP="00AC35D7">
            <w:pPr>
              <w:autoSpaceDE w:val="0"/>
              <w:textAlignment w:val="auto"/>
              <w:rPr>
                <w:rFonts w:ascii="Century Gothic" w:hAnsi="Century Gothic"/>
                <w:b/>
                <w:sz w:val="20"/>
                <w:szCs w:val="22"/>
                <w:lang w:val="en-US" w:eastAsia="en-US"/>
              </w:rPr>
            </w:pPr>
          </w:p>
        </w:tc>
      </w:tr>
      <w:tr w:rsidR="00F819D2" w14:paraId="1A402DAA" w14:textId="77777777" w:rsidTr="00AC35D7">
        <w:tc>
          <w:tcPr>
            <w:tcW w:w="3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25CC4" w14:textId="77777777" w:rsidR="00F819D2" w:rsidRDefault="00F819D2" w:rsidP="00AC35D7">
            <w:pPr>
              <w:autoSpaceDE w:val="0"/>
              <w:textAlignment w:val="auto"/>
              <w:rPr>
                <w:rFonts w:ascii="Century Gothic" w:hAnsi="Century Gothic"/>
                <w:sz w:val="20"/>
                <w:szCs w:val="22"/>
                <w:lang w:val="en-US" w:eastAsia="en-US"/>
              </w:rPr>
            </w:pPr>
            <w:r>
              <w:rPr>
                <w:rFonts w:ascii="Century Gothic" w:hAnsi="Century Gothic"/>
                <w:sz w:val="20"/>
                <w:szCs w:val="22"/>
                <w:lang w:val="en-US" w:eastAsia="en-US"/>
              </w:rPr>
              <w:lastRenderedPageBreak/>
              <w:t>Conditions de travail</w:t>
            </w:r>
          </w:p>
        </w:tc>
        <w:tc>
          <w:tcPr>
            <w:tcW w:w="49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DB980" w14:textId="77777777" w:rsidR="00F819D2" w:rsidRDefault="00F819D2" w:rsidP="00AC35D7">
            <w:pPr>
              <w:autoSpaceDE w:val="0"/>
              <w:textAlignment w:val="auto"/>
              <w:rPr>
                <w:rFonts w:ascii="Century Gothic" w:hAnsi="Century Gothic"/>
                <w:b/>
                <w:sz w:val="20"/>
                <w:szCs w:val="22"/>
                <w:lang w:val="en-US" w:eastAsia="en-US"/>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2255C" w14:textId="77777777" w:rsidR="00F819D2" w:rsidRDefault="00F819D2" w:rsidP="00AC35D7">
            <w:pPr>
              <w:autoSpaceDE w:val="0"/>
              <w:textAlignment w:val="auto"/>
              <w:rPr>
                <w:rFonts w:ascii="Century Gothic" w:hAnsi="Century Gothic"/>
                <w:b/>
                <w:sz w:val="20"/>
                <w:szCs w:val="22"/>
                <w:lang w:val="en-US" w:eastAsia="en-US"/>
              </w:rPr>
            </w:pPr>
          </w:p>
        </w:tc>
      </w:tr>
      <w:tr w:rsidR="00F819D2" w14:paraId="0FA9007D" w14:textId="77777777" w:rsidTr="00AC35D7">
        <w:tc>
          <w:tcPr>
            <w:tcW w:w="3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4942C" w14:textId="77777777" w:rsidR="00F819D2" w:rsidRDefault="00F819D2" w:rsidP="00AC35D7">
            <w:pPr>
              <w:autoSpaceDE w:val="0"/>
              <w:textAlignment w:val="auto"/>
              <w:rPr>
                <w:rFonts w:ascii="Century Gothic" w:hAnsi="Century Gothic"/>
                <w:sz w:val="20"/>
                <w:szCs w:val="22"/>
                <w:lang w:val="en-US" w:eastAsia="en-US"/>
              </w:rPr>
            </w:pPr>
            <w:proofErr w:type="spellStart"/>
            <w:r>
              <w:rPr>
                <w:rFonts w:ascii="Century Gothic" w:hAnsi="Century Gothic"/>
                <w:sz w:val="20"/>
                <w:szCs w:val="22"/>
                <w:lang w:val="en-US" w:eastAsia="en-US"/>
              </w:rPr>
              <w:t>Rémunération</w:t>
            </w:r>
            <w:proofErr w:type="spellEnd"/>
            <w:r>
              <w:rPr>
                <w:rFonts w:ascii="Century Gothic" w:hAnsi="Century Gothic"/>
                <w:sz w:val="20"/>
                <w:szCs w:val="22"/>
                <w:lang w:val="en-US" w:eastAsia="en-US"/>
              </w:rPr>
              <w:t xml:space="preserve"> effective</w:t>
            </w:r>
          </w:p>
        </w:tc>
        <w:tc>
          <w:tcPr>
            <w:tcW w:w="49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5256A" w14:textId="77777777" w:rsidR="00F819D2" w:rsidRDefault="00F819D2" w:rsidP="00AC35D7">
            <w:pPr>
              <w:autoSpaceDE w:val="0"/>
              <w:textAlignment w:val="auto"/>
              <w:rPr>
                <w:rFonts w:ascii="Century Gothic" w:hAnsi="Century Gothic"/>
                <w:b/>
                <w:sz w:val="20"/>
                <w:szCs w:val="22"/>
                <w:lang w:val="en-US" w:eastAsia="en-US"/>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892DA6" w14:textId="77777777" w:rsidR="00F819D2" w:rsidRDefault="00F819D2" w:rsidP="00AC35D7">
            <w:pPr>
              <w:autoSpaceDE w:val="0"/>
              <w:textAlignment w:val="auto"/>
              <w:rPr>
                <w:rFonts w:ascii="Century Gothic" w:hAnsi="Century Gothic"/>
                <w:b/>
                <w:sz w:val="20"/>
                <w:szCs w:val="22"/>
                <w:lang w:val="en-US" w:eastAsia="en-US"/>
              </w:rPr>
            </w:pPr>
          </w:p>
        </w:tc>
      </w:tr>
      <w:tr w:rsidR="00F819D2" w14:paraId="6CBF5806" w14:textId="77777777" w:rsidTr="00AC35D7">
        <w:tc>
          <w:tcPr>
            <w:tcW w:w="3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48450" w14:textId="77777777" w:rsidR="00F819D2" w:rsidRDefault="00F819D2" w:rsidP="00AC35D7">
            <w:pPr>
              <w:autoSpaceDE w:val="0"/>
              <w:textAlignment w:val="auto"/>
              <w:rPr>
                <w:rFonts w:ascii="Century Gothic" w:hAnsi="Century Gothic"/>
                <w:sz w:val="20"/>
                <w:szCs w:val="22"/>
                <w:lang w:eastAsia="en-US"/>
              </w:rPr>
            </w:pPr>
            <w:r>
              <w:rPr>
                <w:rFonts w:ascii="Century Gothic" w:hAnsi="Century Gothic"/>
                <w:sz w:val="20"/>
                <w:szCs w:val="22"/>
                <w:lang w:eastAsia="en-US"/>
              </w:rPr>
              <w:t>Santé et sécurité au travail</w:t>
            </w:r>
          </w:p>
        </w:tc>
        <w:tc>
          <w:tcPr>
            <w:tcW w:w="49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4E727" w14:textId="77777777" w:rsidR="00F819D2" w:rsidRDefault="00F819D2" w:rsidP="00AC35D7">
            <w:pPr>
              <w:autoSpaceDE w:val="0"/>
              <w:textAlignment w:val="auto"/>
              <w:rPr>
                <w:rFonts w:ascii="Century Gothic" w:hAnsi="Century Gothic"/>
                <w:b/>
                <w:sz w:val="20"/>
                <w:szCs w:val="22"/>
                <w:lang w:eastAsia="en-US"/>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480D6" w14:textId="77777777" w:rsidR="00F819D2" w:rsidRDefault="00F819D2" w:rsidP="00AC35D7">
            <w:pPr>
              <w:autoSpaceDE w:val="0"/>
              <w:textAlignment w:val="auto"/>
              <w:rPr>
                <w:rFonts w:ascii="Century Gothic" w:hAnsi="Century Gothic"/>
                <w:b/>
                <w:sz w:val="20"/>
                <w:szCs w:val="22"/>
                <w:lang w:eastAsia="en-US"/>
              </w:rPr>
            </w:pPr>
          </w:p>
        </w:tc>
      </w:tr>
      <w:tr w:rsidR="00F819D2" w14:paraId="4E4EECED" w14:textId="77777777" w:rsidTr="00AC35D7">
        <w:trPr>
          <w:trHeight w:val="505"/>
        </w:trPr>
        <w:tc>
          <w:tcPr>
            <w:tcW w:w="3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0C68F" w14:textId="77777777" w:rsidR="00F819D2" w:rsidRDefault="00F819D2" w:rsidP="00AC35D7">
            <w:pPr>
              <w:autoSpaceDE w:val="0"/>
              <w:textAlignment w:val="auto"/>
              <w:rPr>
                <w:rFonts w:ascii="Century Gothic" w:hAnsi="Century Gothic"/>
                <w:sz w:val="20"/>
                <w:szCs w:val="22"/>
                <w:lang w:eastAsia="en-US"/>
              </w:rPr>
            </w:pPr>
            <w:r>
              <w:rPr>
                <w:rFonts w:ascii="Century Gothic" w:hAnsi="Century Gothic"/>
                <w:sz w:val="20"/>
                <w:szCs w:val="22"/>
                <w:lang w:eastAsia="en-US"/>
              </w:rPr>
              <w:t>Articulation vie professionnelle et vie personnelle</w:t>
            </w:r>
          </w:p>
        </w:tc>
        <w:tc>
          <w:tcPr>
            <w:tcW w:w="49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E1079" w14:textId="77777777" w:rsidR="00F819D2" w:rsidRDefault="00F819D2" w:rsidP="00AC35D7">
            <w:pPr>
              <w:autoSpaceDE w:val="0"/>
              <w:textAlignment w:val="auto"/>
              <w:rPr>
                <w:rFonts w:ascii="Century Gothic" w:hAnsi="Century Gothic"/>
                <w:b/>
                <w:sz w:val="20"/>
                <w:szCs w:val="22"/>
                <w:lang w:eastAsia="en-US"/>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FAD875" w14:textId="77777777" w:rsidR="00F819D2" w:rsidRDefault="00F819D2" w:rsidP="00AC35D7">
            <w:pPr>
              <w:autoSpaceDE w:val="0"/>
              <w:textAlignment w:val="auto"/>
              <w:rPr>
                <w:rFonts w:ascii="Century Gothic" w:hAnsi="Century Gothic"/>
                <w:b/>
                <w:sz w:val="20"/>
                <w:szCs w:val="22"/>
                <w:lang w:eastAsia="en-US"/>
              </w:rPr>
            </w:pPr>
          </w:p>
        </w:tc>
      </w:tr>
      <w:tr w:rsidR="00F819D2" w14:paraId="6B5E9C0D" w14:textId="77777777" w:rsidTr="00AC35D7">
        <w:tc>
          <w:tcPr>
            <w:tcW w:w="3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41391" w14:textId="77777777" w:rsidR="00F819D2" w:rsidRDefault="00F819D2" w:rsidP="00AC35D7">
            <w:pPr>
              <w:autoSpaceDE w:val="0"/>
              <w:textAlignment w:val="auto"/>
              <w:rPr>
                <w:rFonts w:ascii="Century Gothic" w:hAnsi="Century Gothic"/>
                <w:sz w:val="20"/>
                <w:szCs w:val="22"/>
                <w:lang w:val="en-US" w:eastAsia="en-US"/>
              </w:rPr>
            </w:pPr>
            <w:proofErr w:type="spellStart"/>
            <w:r>
              <w:rPr>
                <w:rFonts w:ascii="Century Gothic" w:hAnsi="Century Gothic"/>
                <w:sz w:val="20"/>
                <w:szCs w:val="22"/>
                <w:lang w:val="en-US" w:eastAsia="en-US"/>
              </w:rPr>
              <w:t>Autres</w:t>
            </w:r>
            <w:proofErr w:type="spellEnd"/>
          </w:p>
        </w:tc>
        <w:tc>
          <w:tcPr>
            <w:tcW w:w="49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F88D9" w14:textId="77777777" w:rsidR="00F819D2" w:rsidRDefault="00F819D2" w:rsidP="00AC35D7">
            <w:pPr>
              <w:autoSpaceDE w:val="0"/>
              <w:textAlignment w:val="auto"/>
              <w:rPr>
                <w:rFonts w:ascii="Century Gothic" w:hAnsi="Century Gothic"/>
                <w:b/>
                <w:sz w:val="20"/>
                <w:szCs w:val="22"/>
                <w:lang w:val="en-US" w:eastAsia="en-US"/>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C1F19B" w14:textId="77777777" w:rsidR="00F819D2" w:rsidRDefault="00F819D2" w:rsidP="00AC35D7">
            <w:pPr>
              <w:autoSpaceDE w:val="0"/>
              <w:textAlignment w:val="auto"/>
              <w:rPr>
                <w:rFonts w:ascii="Century Gothic" w:hAnsi="Century Gothic"/>
                <w:b/>
                <w:sz w:val="20"/>
                <w:szCs w:val="22"/>
                <w:lang w:val="en-US" w:eastAsia="en-US"/>
              </w:rPr>
            </w:pPr>
          </w:p>
        </w:tc>
      </w:tr>
    </w:tbl>
    <w:p w14:paraId="27958946" w14:textId="77777777" w:rsidR="00F819D2" w:rsidRDefault="00F819D2" w:rsidP="00F819D2">
      <w:pPr>
        <w:rPr>
          <w:rFonts w:ascii="Century Gothic" w:hAnsi="Century Gothic"/>
          <w:b/>
          <w:sz w:val="20"/>
        </w:rPr>
      </w:pPr>
    </w:p>
    <w:p w14:paraId="2EC0014C" w14:textId="77777777" w:rsidR="00F819D2" w:rsidRDefault="00F819D2" w:rsidP="00F819D2">
      <w:pPr>
        <w:ind w:left="360"/>
      </w:pPr>
      <w:r>
        <w:t>Le titulaire communique à l’AFD un compte-rendu des actions effectivement mises en place pour l’égalité professionnelle femmes hommes, ainsi que les indicateurs de résultat correspondants pour chaque année civile couverte pour le marché. Les mesures et les indicateurs correspondent à ceux décrits dans le mémoire technique.</w:t>
      </w:r>
    </w:p>
    <w:p w14:paraId="16FE834C" w14:textId="77777777" w:rsidR="00F819D2" w:rsidRDefault="00F819D2" w:rsidP="00F819D2">
      <w:pPr>
        <w:ind w:left="360"/>
      </w:pPr>
    </w:p>
    <w:p w14:paraId="3CFFC769" w14:textId="77777777" w:rsidR="00F819D2" w:rsidRDefault="00F819D2" w:rsidP="00F819D2">
      <w:pPr>
        <w:ind w:left="360"/>
      </w:pPr>
      <w:r>
        <w:t>Ces informations seront communiquées sur demande de l’AFD.</w:t>
      </w:r>
    </w:p>
    <w:p w14:paraId="3B91E7F4" w14:textId="77777777" w:rsidR="00F819D2" w:rsidRDefault="00F819D2" w:rsidP="00F819D2">
      <w:pPr>
        <w:rPr>
          <w:rFonts w:ascii="Century Gothic" w:hAnsi="Century Gothic"/>
          <w:bCs/>
          <w:sz w:val="20"/>
        </w:rPr>
      </w:pPr>
    </w:p>
    <w:p w14:paraId="677C4930" w14:textId="77777777" w:rsidR="00F819D2" w:rsidRDefault="00F819D2" w:rsidP="00F819D2">
      <w:pPr>
        <w:pStyle w:val="Titre3"/>
      </w:pPr>
      <w:bookmarkStart w:id="74" w:name="_Toc164762499"/>
      <w:r>
        <w:t>Diversité (général)</w:t>
      </w:r>
      <w:bookmarkEnd w:id="74"/>
    </w:p>
    <w:p w14:paraId="2610B691" w14:textId="77777777" w:rsidR="00F819D2" w:rsidRDefault="00F819D2" w:rsidP="00F819D2">
      <w:pPr>
        <w:ind w:left="360"/>
      </w:pPr>
      <w:r>
        <w:t xml:space="preserve">Le soumissionnaire décrit dans son mémoire technique 2 ou 3 actions favorisant la diversité au sein des personnels qui seront applicables à l’achat, ainsi que les indicateurs associés à chaque action. </w:t>
      </w:r>
    </w:p>
    <w:p w14:paraId="23593A2C" w14:textId="297E5DC9" w:rsidR="00F819D2" w:rsidRDefault="00F819D2" w:rsidP="00F819D2">
      <w:pPr>
        <w:ind w:left="360"/>
      </w:pPr>
      <w:r>
        <w:t>Ces actions peuvent porter sur les thèmes suivants : embauche, égalité salariale et rémunération, formation, conditions de travail, promotions, intégration etc. Certaines actions peuvent cibler, mais non exclusivement, certains publics</w:t>
      </w:r>
      <w:r w:rsidRPr="00F819D2">
        <w:t xml:space="preserve"> </w:t>
      </w:r>
      <w:r>
        <w:t>spécifiques comme les femmes, les personnes en situation de handicap, les jeunes, et en particulier ceux en décrochage scolaire, les personnes de 50 ans et +, les personnes éloignées de l’emploi etc.</w:t>
      </w:r>
    </w:p>
    <w:p w14:paraId="31196C72" w14:textId="77777777" w:rsidR="00F819D2" w:rsidRDefault="00F819D2" w:rsidP="00F819D2">
      <w:pPr>
        <w:ind w:left="360"/>
      </w:pPr>
    </w:p>
    <w:p w14:paraId="37622FAD" w14:textId="77777777" w:rsidR="00F819D2" w:rsidRDefault="00F819D2" w:rsidP="00F819D2">
      <w:pPr>
        <w:ind w:left="360"/>
      </w:pPr>
      <w:r>
        <w:t>Le soumissionnaire indique ses actions dans le tableau suivant :</w:t>
      </w:r>
    </w:p>
    <w:p w14:paraId="4CCBC6A8" w14:textId="77777777" w:rsidR="00F819D2" w:rsidRDefault="00F819D2" w:rsidP="00F819D2">
      <w:pPr>
        <w:ind w:left="360"/>
      </w:pPr>
    </w:p>
    <w:tbl>
      <w:tblPr>
        <w:tblW w:w="9293" w:type="dxa"/>
        <w:tblInd w:w="421" w:type="dxa"/>
        <w:tblCellMar>
          <w:left w:w="10" w:type="dxa"/>
          <w:right w:w="10" w:type="dxa"/>
        </w:tblCellMar>
        <w:tblLook w:val="0000" w:firstRow="0" w:lastRow="0" w:firstColumn="0" w:lastColumn="0" w:noHBand="0" w:noVBand="0"/>
      </w:tblPr>
      <w:tblGrid>
        <w:gridCol w:w="5603"/>
        <w:gridCol w:w="1845"/>
        <w:gridCol w:w="1845"/>
      </w:tblGrid>
      <w:tr w:rsidR="00F819D2" w14:paraId="51C127A9" w14:textId="77777777" w:rsidTr="00AC35D7">
        <w:trPr>
          <w:trHeight w:val="303"/>
        </w:trPr>
        <w:tc>
          <w:tcPr>
            <w:tcW w:w="56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0E775" w14:textId="77777777" w:rsidR="00F819D2" w:rsidRDefault="00F819D2" w:rsidP="00AC35D7">
            <w:pPr>
              <w:autoSpaceDE w:val="0"/>
              <w:textAlignment w:val="auto"/>
              <w:rPr>
                <w:b/>
                <w:szCs w:val="22"/>
                <w:lang w:eastAsia="en-US"/>
              </w:rPr>
            </w:pPr>
            <w:r>
              <w:rPr>
                <w:b/>
                <w:szCs w:val="22"/>
                <w:lang w:eastAsia="en-US"/>
              </w:rPr>
              <w:t>Actions relatives à la promotion de la diversité au sein du personnel</w:t>
            </w: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C57D6" w14:textId="77777777" w:rsidR="00F819D2" w:rsidRDefault="00F819D2" w:rsidP="00AC35D7">
            <w:pPr>
              <w:autoSpaceDE w:val="0"/>
              <w:textAlignment w:val="auto"/>
              <w:rPr>
                <w:b/>
                <w:szCs w:val="22"/>
                <w:lang w:eastAsia="en-US"/>
              </w:rPr>
            </w:pPr>
            <w:r>
              <w:rPr>
                <w:b/>
                <w:szCs w:val="22"/>
                <w:lang w:eastAsia="en-US"/>
              </w:rPr>
              <w:t>Public(s) visé(s) le cas échéant</w:t>
            </w: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26888" w14:textId="77777777" w:rsidR="00F819D2" w:rsidRDefault="00F819D2" w:rsidP="00AC35D7">
            <w:pPr>
              <w:autoSpaceDE w:val="0"/>
              <w:textAlignment w:val="auto"/>
              <w:rPr>
                <w:b/>
                <w:szCs w:val="22"/>
                <w:lang w:val="en-US" w:eastAsia="en-US"/>
              </w:rPr>
            </w:pPr>
            <w:proofErr w:type="spellStart"/>
            <w:r>
              <w:rPr>
                <w:b/>
                <w:szCs w:val="22"/>
                <w:lang w:val="en-US" w:eastAsia="en-US"/>
              </w:rPr>
              <w:t>Indicateurs</w:t>
            </w:r>
            <w:proofErr w:type="spellEnd"/>
          </w:p>
        </w:tc>
      </w:tr>
      <w:tr w:rsidR="00F819D2" w14:paraId="0F3B7BAB" w14:textId="77777777" w:rsidTr="00AC35D7">
        <w:trPr>
          <w:trHeight w:val="1536"/>
        </w:trPr>
        <w:tc>
          <w:tcPr>
            <w:tcW w:w="56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1B5AC7" w14:textId="77777777" w:rsidR="00F819D2" w:rsidRDefault="00F819D2" w:rsidP="00AC35D7">
            <w:pPr>
              <w:autoSpaceDE w:val="0"/>
              <w:textAlignment w:val="auto"/>
              <w:rPr>
                <w:b/>
                <w:szCs w:val="22"/>
                <w:lang w:val="en-US" w:eastAsia="en-US"/>
              </w:rPr>
            </w:pP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68313" w14:textId="77777777" w:rsidR="00F819D2" w:rsidRDefault="00F819D2" w:rsidP="00AC35D7">
            <w:pPr>
              <w:autoSpaceDE w:val="0"/>
              <w:textAlignment w:val="auto"/>
              <w:rPr>
                <w:b/>
                <w:szCs w:val="22"/>
                <w:lang w:val="en-US" w:eastAsia="en-US"/>
              </w:rPr>
            </w:pP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F3045" w14:textId="77777777" w:rsidR="00F819D2" w:rsidRDefault="00F819D2" w:rsidP="00AC35D7">
            <w:pPr>
              <w:autoSpaceDE w:val="0"/>
              <w:textAlignment w:val="auto"/>
              <w:rPr>
                <w:b/>
                <w:szCs w:val="22"/>
                <w:lang w:val="en-US" w:eastAsia="en-US"/>
              </w:rPr>
            </w:pPr>
          </w:p>
        </w:tc>
      </w:tr>
      <w:tr w:rsidR="00F819D2" w14:paraId="007DE5B8" w14:textId="77777777" w:rsidTr="00AC35D7">
        <w:trPr>
          <w:trHeight w:val="1536"/>
        </w:trPr>
        <w:tc>
          <w:tcPr>
            <w:tcW w:w="56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4163A" w14:textId="77777777" w:rsidR="00F819D2" w:rsidRDefault="00F819D2" w:rsidP="00AC35D7">
            <w:pPr>
              <w:autoSpaceDE w:val="0"/>
              <w:textAlignment w:val="auto"/>
              <w:rPr>
                <w:b/>
                <w:szCs w:val="22"/>
                <w:lang w:val="en-US" w:eastAsia="en-US"/>
              </w:rPr>
            </w:pP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5975F" w14:textId="77777777" w:rsidR="00F819D2" w:rsidRDefault="00F819D2" w:rsidP="00AC35D7">
            <w:pPr>
              <w:autoSpaceDE w:val="0"/>
              <w:textAlignment w:val="auto"/>
              <w:rPr>
                <w:b/>
                <w:szCs w:val="22"/>
                <w:lang w:val="en-US" w:eastAsia="en-US"/>
              </w:rPr>
            </w:pP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CEB5B" w14:textId="77777777" w:rsidR="00F819D2" w:rsidRDefault="00F819D2" w:rsidP="00AC35D7">
            <w:pPr>
              <w:autoSpaceDE w:val="0"/>
              <w:textAlignment w:val="auto"/>
              <w:rPr>
                <w:b/>
                <w:szCs w:val="22"/>
                <w:lang w:val="en-US" w:eastAsia="en-US"/>
              </w:rPr>
            </w:pPr>
          </w:p>
        </w:tc>
      </w:tr>
      <w:tr w:rsidR="00F819D2" w14:paraId="69E63D2C" w14:textId="77777777" w:rsidTr="00AC35D7">
        <w:trPr>
          <w:trHeight w:val="1106"/>
        </w:trPr>
        <w:tc>
          <w:tcPr>
            <w:tcW w:w="56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26748" w14:textId="77777777" w:rsidR="00F819D2" w:rsidRDefault="00F819D2" w:rsidP="00AC35D7">
            <w:pPr>
              <w:autoSpaceDE w:val="0"/>
              <w:textAlignment w:val="auto"/>
              <w:rPr>
                <w:b/>
                <w:szCs w:val="22"/>
                <w:lang w:val="en-US" w:eastAsia="en-US"/>
              </w:rPr>
            </w:pPr>
          </w:p>
          <w:p w14:paraId="20A13224" w14:textId="77777777" w:rsidR="00F819D2" w:rsidRDefault="00F819D2" w:rsidP="00AC35D7">
            <w:pPr>
              <w:autoSpaceDE w:val="0"/>
              <w:textAlignment w:val="auto"/>
              <w:rPr>
                <w:b/>
                <w:szCs w:val="22"/>
                <w:lang w:val="en-US" w:eastAsia="en-US"/>
              </w:rPr>
            </w:pPr>
          </w:p>
          <w:p w14:paraId="630D4D31" w14:textId="77777777" w:rsidR="00F819D2" w:rsidRDefault="00F819D2" w:rsidP="00AC35D7">
            <w:pPr>
              <w:autoSpaceDE w:val="0"/>
              <w:textAlignment w:val="auto"/>
              <w:rPr>
                <w:b/>
                <w:szCs w:val="22"/>
                <w:lang w:val="en-US" w:eastAsia="en-US"/>
              </w:rPr>
            </w:pPr>
          </w:p>
          <w:p w14:paraId="105740E6" w14:textId="77777777" w:rsidR="00F819D2" w:rsidRDefault="00F819D2" w:rsidP="00AC35D7">
            <w:pPr>
              <w:autoSpaceDE w:val="0"/>
              <w:textAlignment w:val="auto"/>
              <w:rPr>
                <w:b/>
                <w:szCs w:val="22"/>
                <w:lang w:val="en-US" w:eastAsia="en-US"/>
              </w:rPr>
            </w:pP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160D6" w14:textId="77777777" w:rsidR="00F819D2" w:rsidRDefault="00F819D2" w:rsidP="00AC35D7">
            <w:pPr>
              <w:autoSpaceDE w:val="0"/>
              <w:textAlignment w:val="auto"/>
              <w:rPr>
                <w:b/>
                <w:szCs w:val="22"/>
                <w:lang w:val="en-US" w:eastAsia="en-US"/>
              </w:rPr>
            </w:pP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CF52A" w14:textId="77777777" w:rsidR="00F819D2" w:rsidRDefault="00F819D2" w:rsidP="00AC35D7">
            <w:pPr>
              <w:autoSpaceDE w:val="0"/>
              <w:textAlignment w:val="auto"/>
              <w:rPr>
                <w:b/>
                <w:szCs w:val="22"/>
                <w:lang w:val="en-US" w:eastAsia="en-US"/>
              </w:rPr>
            </w:pPr>
          </w:p>
        </w:tc>
      </w:tr>
    </w:tbl>
    <w:p w14:paraId="40C5B6FF" w14:textId="77777777" w:rsidR="00F819D2" w:rsidRDefault="00F819D2" w:rsidP="00F819D2">
      <w:pPr>
        <w:ind w:left="360"/>
        <w:rPr>
          <w:b/>
        </w:rPr>
      </w:pPr>
    </w:p>
    <w:p w14:paraId="7C0A31B2" w14:textId="77777777" w:rsidR="00F819D2" w:rsidRDefault="00F819D2" w:rsidP="00F819D2">
      <w:pPr>
        <w:ind w:left="360"/>
        <w:rPr>
          <w:bCs/>
        </w:rPr>
      </w:pPr>
      <w:r>
        <w:rPr>
          <w:bCs/>
        </w:rPr>
        <w:t>Le titulaire communique à l’AFD un compte-rendu succinct des actions effectivement mises en place pour la diversité du personnel applicables au marché, ainsi que les indicateurs de résultat correspondants pour chaque année civile couverte pour le marché. Les mesures et les indicateurs correspondent à ceux décrits dans le mémoire technique.</w:t>
      </w:r>
    </w:p>
    <w:p w14:paraId="2E216A6F" w14:textId="77777777" w:rsidR="00F819D2" w:rsidRDefault="00F819D2" w:rsidP="00F819D2">
      <w:pPr>
        <w:ind w:left="360"/>
        <w:rPr>
          <w:bCs/>
        </w:rPr>
      </w:pPr>
    </w:p>
    <w:p w14:paraId="52FCE609" w14:textId="77777777" w:rsidR="00F819D2" w:rsidRDefault="00F819D2" w:rsidP="00F819D2">
      <w:pPr>
        <w:ind w:left="360"/>
        <w:rPr>
          <w:bCs/>
        </w:rPr>
      </w:pPr>
      <w:r>
        <w:rPr>
          <w:bCs/>
        </w:rPr>
        <w:lastRenderedPageBreak/>
        <w:t>Ces informations seront communiquées sur demande de l’AFD.</w:t>
      </w:r>
    </w:p>
    <w:p w14:paraId="4B11CC92" w14:textId="77777777" w:rsidR="00F819D2" w:rsidRDefault="00F819D2" w:rsidP="00F819D2"/>
    <w:p w14:paraId="04E1ED10" w14:textId="77777777" w:rsidR="00F819D2" w:rsidRDefault="00F819D2" w:rsidP="00F819D2">
      <w:pPr>
        <w:pStyle w:val="Titre3"/>
      </w:pPr>
      <w:bookmarkStart w:id="75" w:name="_Toc164762501"/>
      <w:r>
        <w:t>Qualité de vie au travail</w:t>
      </w:r>
      <w:bookmarkEnd w:id="75"/>
    </w:p>
    <w:p w14:paraId="6A502121" w14:textId="77777777" w:rsidR="00F819D2" w:rsidRDefault="00F819D2" w:rsidP="00F819D2">
      <w:pPr>
        <w:ind w:left="360"/>
      </w:pPr>
    </w:p>
    <w:p w14:paraId="1F13D02C" w14:textId="77777777" w:rsidR="00F819D2" w:rsidRDefault="00F819D2" w:rsidP="00F819D2">
      <w:pPr>
        <w:ind w:left="360"/>
      </w:pPr>
      <w:r>
        <w:t xml:space="preserve">Le soumissionnaire décrit dans son mémoire technique son approche pour la Qualité de vie au travail (QVT), qui doit s’appliquer aux personnels qui seront mobilisés dans le cadre du marché, ainsi que les indicateurs associés. </w:t>
      </w:r>
    </w:p>
    <w:p w14:paraId="5625F203" w14:textId="77777777" w:rsidR="00F819D2" w:rsidRDefault="00F819D2" w:rsidP="00F819D2">
      <w:pPr>
        <w:ind w:left="360"/>
      </w:pPr>
    </w:p>
    <w:p w14:paraId="08C2489E" w14:textId="77777777" w:rsidR="00F819D2" w:rsidRDefault="00F819D2" w:rsidP="00F819D2">
      <w:pPr>
        <w:ind w:left="360"/>
      </w:pPr>
      <w:r>
        <w:t>L’approche doit couvrir les thèmes suivants : conditions de travail (santé et sécurité, durée du travail, repos et congés), dialogue social, représentation du personnel et mécanisme de traitement des plaintes, et prévention des risques psychosociaux (RPS).</w:t>
      </w:r>
    </w:p>
    <w:p w14:paraId="20687B9D" w14:textId="77777777" w:rsidR="00F819D2" w:rsidRDefault="00F819D2" w:rsidP="00F819D2">
      <w:pPr>
        <w:ind w:left="360"/>
      </w:pPr>
    </w:p>
    <w:p w14:paraId="635B01F0" w14:textId="77777777" w:rsidR="00F819D2" w:rsidRDefault="00F819D2" w:rsidP="00F819D2">
      <w:pPr>
        <w:ind w:left="360"/>
      </w:pPr>
      <w:r>
        <w:t xml:space="preserve">L’approche doit permettre </w:t>
      </w:r>
      <w:proofErr w:type="gramStart"/>
      <w:r>
        <w:t>a</w:t>
      </w:r>
      <w:proofErr w:type="gramEnd"/>
      <w:r>
        <w:t xml:space="preserve"> minima d’être en conformité avec les lois et réglementations, et les accords sociaux interprofessionnels et de branche (y-compris l’Accord national interprofessionnel français de 2013 pour les entreprises soumises au droit français), et viser à aller au-delà de la loi. Le titulaire doit s’appuyer sur le CSE lorsqu’il y en a un (obligation légale en France pour les entreprises de plus de 11 salariés) ou tout autre instance de représentation du personnel.</w:t>
      </w:r>
    </w:p>
    <w:p w14:paraId="35662E1A" w14:textId="77777777" w:rsidR="00F819D2" w:rsidRDefault="00F819D2" w:rsidP="00F819D2">
      <w:pPr>
        <w:ind w:left="360"/>
      </w:pPr>
    </w:p>
    <w:p w14:paraId="2C037416" w14:textId="77777777" w:rsidR="00F819D2" w:rsidRDefault="00F819D2" w:rsidP="00F819D2">
      <w:pPr>
        <w:ind w:left="360"/>
      </w:pPr>
      <w:r>
        <w:t>Le soumissionnaire décrira son approche dans le tableau suivant :</w:t>
      </w:r>
    </w:p>
    <w:p w14:paraId="1B894543" w14:textId="77777777" w:rsidR="00F819D2" w:rsidRDefault="00F819D2" w:rsidP="00F819D2">
      <w:pPr>
        <w:ind w:left="360"/>
      </w:pPr>
    </w:p>
    <w:tbl>
      <w:tblPr>
        <w:tblW w:w="9213" w:type="dxa"/>
        <w:tblInd w:w="421" w:type="dxa"/>
        <w:tblCellMar>
          <w:left w:w="10" w:type="dxa"/>
          <w:right w:w="10" w:type="dxa"/>
        </w:tblCellMar>
        <w:tblLook w:val="0000" w:firstRow="0" w:lastRow="0" w:firstColumn="0" w:lastColumn="0" w:noHBand="0" w:noVBand="0"/>
      </w:tblPr>
      <w:tblGrid>
        <w:gridCol w:w="7654"/>
        <w:gridCol w:w="1559"/>
      </w:tblGrid>
      <w:tr w:rsidR="00F819D2" w14:paraId="2EE9F865" w14:textId="77777777" w:rsidTr="00AC35D7">
        <w:trPr>
          <w:trHeight w:val="303"/>
        </w:trPr>
        <w:tc>
          <w:tcPr>
            <w:tcW w:w="76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2E9F0" w14:textId="77777777" w:rsidR="00F819D2" w:rsidRDefault="00F819D2" w:rsidP="00AC35D7">
            <w:pPr>
              <w:autoSpaceDE w:val="0"/>
              <w:textAlignment w:val="auto"/>
              <w:rPr>
                <w:b/>
                <w:szCs w:val="22"/>
                <w:lang w:eastAsia="en-US"/>
              </w:rPr>
            </w:pPr>
            <w:r>
              <w:rPr>
                <w:b/>
                <w:szCs w:val="22"/>
                <w:lang w:eastAsia="en-US"/>
              </w:rPr>
              <w:t>Approche pour la Qualité de vie au travail (QVT) applicable au personnel mobilisé sur le marché</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58AC8" w14:textId="77777777" w:rsidR="00F819D2" w:rsidRDefault="00F819D2" w:rsidP="00AC35D7">
            <w:pPr>
              <w:autoSpaceDE w:val="0"/>
              <w:textAlignment w:val="auto"/>
              <w:rPr>
                <w:b/>
                <w:szCs w:val="22"/>
                <w:lang w:val="en-US" w:eastAsia="en-US"/>
              </w:rPr>
            </w:pPr>
            <w:proofErr w:type="spellStart"/>
            <w:r>
              <w:rPr>
                <w:b/>
                <w:szCs w:val="22"/>
                <w:lang w:val="en-US" w:eastAsia="en-US"/>
              </w:rPr>
              <w:t>Indicateurs</w:t>
            </w:r>
            <w:proofErr w:type="spellEnd"/>
          </w:p>
        </w:tc>
      </w:tr>
      <w:tr w:rsidR="00F819D2" w14:paraId="2BEF84A0" w14:textId="77777777" w:rsidTr="00AC35D7">
        <w:trPr>
          <w:trHeight w:val="1536"/>
        </w:trPr>
        <w:tc>
          <w:tcPr>
            <w:tcW w:w="76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AF715" w14:textId="77777777" w:rsidR="00F819D2" w:rsidRDefault="00F819D2" w:rsidP="00AC35D7">
            <w:pPr>
              <w:autoSpaceDE w:val="0"/>
              <w:textAlignment w:val="auto"/>
              <w:rPr>
                <w:b/>
                <w:szCs w:val="22"/>
                <w:lang w:val="en-US"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5C9E8" w14:textId="77777777" w:rsidR="00F819D2" w:rsidRDefault="00F819D2" w:rsidP="00AC35D7">
            <w:pPr>
              <w:autoSpaceDE w:val="0"/>
              <w:textAlignment w:val="auto"/>
              <w:rPr>
                <w:b/>
                <w:szCs w:val="22"/>
                <w:lang w:val="en-US" w:eastAsia="en-US"/>
              </w:rPr>
            </w:pPr>
          </w:p>
        </w:tc>
      </w:tr>
    </w:tbl>
    <w:p w14:paraId="1EBFC292" w14:textId="77777777" w:rsidR="00F819D2" w:rsidRDefault="00F819D2" w:rsidP="00F819D2">
      <w:pPr>
        <w:ind w:left="360"/>
        <w:rPr>
          <w:b/>
        </w:rPr>
      </w:pPr>
    </w:p>
    <w:p w14:paraId="3D9829B7" w14:textId="77777777" w:rsidR="00F819D2" w:rsidRDefault="00F819D2" w:rsidP="00F819D2">
      <w:pPr>
        <w:ind w:left="360"/>
        <w:rPr>
          <w:bCs/>
        </w:rPr>
      </w:pPr>
      <w:r>
        <w:rPr>
          <w:bCs/>
        </w:rPr>
        <w:t>Le titulaire communique à l’AFD un compte-rendu succinct des actions effectivement mises en place pour la Qualité de vie au travail applicables au marché, ainsi que les indicateurs de résultat correspondants pour chaque année civile couverte pour le marché. Les mesures et les indicateurs correspondent à ceux décrits dans le mémoire technique.</w:t>
      </w:r>
    </w:p>
    <w:p w14:paraId="118520AF" w14:textId="77777777" w:rsidR="00F819D2" w:rsidRDefault="00F819D2" w:rsidP="00F819D2">
      <w:pPr>
        <w:ind w:left="360"/>
        <w:rPr>
          <w:bCs/>
        </w:rPr>
      </w:pPr>
    </w:p>
    <w:p w14:paraId="3B438CD3" w14:textId="77777777" w:rsidR="00F819D2" w:rsidRDefault="00F819D2" w:rsidP="00F819D2">
      <w:pPr>
        <w:ind w:left="360"/>
        <w:rPr>
          <w:bCs/>
        </w:rPr>
      </w:pPr>
      <w:r>
        <w:rPr>
          <w:bCs/>
        </w:rPr>
        <w:t>Ces informations seront communiquées sur demande de l’AFD.</w:t>
      </w:r>
    </w:p>
    <w:p w14:paraId="34F174CF" w14:textId="6A38A361" w:rsidR="00E82CE3" w:rsidRDefault="00E82CE3" w:rsidP="00F819D2">
      <w:pPr>
        <w:pStyle w:val="RedaliaNormal"/>
        <w:jc w:val="left"/>
      </w:pPr>
    </w:p>
    <w:p w14:paraId="2E1B0AFB" w14:textId="77777777" w:rsidR="00E82CE3" w:rsidRDefault="00E82CE3">
      <w:pPr>
        <w:pageBreakBefore/>
        <w:widowControl/>
        <w:suppressAutoHyphens w:val="0"/>
      </w:pPr>
    </w:p>
    <w:p w14:paraId="5E811A98" w14:textId="77777777" w:rsidR="00E82CE3" w:rsidRDefault="00793A01">
      <w:pPr>
        <w:pStyle w:val="RedaliaTitre1"/>
      </w:pPr>
      <w:bookmarkStart w:id="76" w:name="_Toc1708984651"/>
      <w:bookmarkStart w:id="77" w:name="_Toc196406058"/>
      <w:r>
        <w:t>Annexe : Exigences relatives au certificat de signature</w:t>
      </w:r>
      <w:bookmarkEnd w:id="76"/>
      <w:bookmarkEnd w:id="77"/>
    </w:p>
    <w:p w14:paraId="19E62A23" w14:textId="77777777" w:rsidR="00E82CE3" w:rsidRDefault="00E82CE3">
      <w:pPr>
        <w:pStyle w:val="RedaliaNormal"/>
      </w:pPr>
    </w:p>
    <w:p w14:paraId="2DEB504A" w14:textId="77777777" w:rsidR="00E82CE3" w:rsidRDefault="00E82CE3">
      <w:pPr>
        <w:pStyle w:val="RedaliaNormal"/>
      </w:pPr>
    </w:p>
    <w:p w14:paraId="3773FCFA" w14:textId="77777777" w:rsidR="00E82CE3" w:rsidRDefault="00793A01">
      <w:pPr>
        <w:pStyle w:val="RedaliaNormal"/>
      </w:pPr>
      <w:r>
        <w:rPr>
          <w:u w:val="single"/>
        </w:rPr>
        <w:t>Certificat de signature</w:t>
      </w:r>
      <w:r>
        <w:t xml:space="preserve"> :</w:t>
      </w:r>
    </w:p>
    <w:p w14:paraId="77BCD158" w14:textId="77777777" w:rsidR="00E82CE3" w:rsidRDefault="00E82CE3">
      <w:pPr>
        <w:pStyle w:val="RedaliaNormal"/>
      </w:pPr>
    </w:p>
    <w:p w14:paraId="21B80499" w14:textId="77777777" w:rsidR="00E82CE3" w:rsidRDefault="00793A01">
      <w:pPr>
        <w:pStyle w:val="RedaliaNormal"/>
      </w:pPr>
      <w:r>
        <w:t xml:space="preserve">Le certificat de signature du signataire doit être conforme au règlement « </w:t>
      </w:r>
      <w:proofErr w:type="spellStart"/>
      <w:r>
        <w:t>eIDAS</w:t>
      </w:r>
      <w:proofErr w:type="spellEnd"/>
      <w:r>
        <w:t xml:space="preserve"> » ou équivalent et respecter le niveau de sécurité exigé. Le RGS (référentiel général de sécurité) est remplacé par le règlement « </w:t>
      </w:r>
      <w:proofErr w:type="spellStart"/>
      <w:r>
        <w:t>eIDAS</w:t>
      </w:r>
      <w:proofErr w:type="spellEnd"/>
      <w:r>
        <w:t xml:space="preserve"> » depuis le 1er octobre 2018.</w:t>
      </w:r>
    </w:p>
    <w:p w14:paraId="2B951D27" w14:textId="77777777" w:rsidR="00E82CE3" w:rsidRDefault="00793A01">
      <w:pPr>
        <w:pStyle w:val="RedaliaNormal"/>
      </w:pPr>
      <w:r>
        <w:t>Néanmoins, les candidats disposant déjà d’un certificat « RGS », celui-ci reste utilisable jusqu’au terme de sa période de validité.</w:t>
      </w:r>
    </w:p>
    <w:p w14:paraId="128C2428" w14:textId="77777777" w:rsidR="00E82CE3" w:rsidRDefault="00E82CE3">
      <w:pPr>
        <w:pStyle w:val="RedaliaNormal"/>
      </w:pPr>
    </w:p>
    <w:p w14:paraId="2553D4D8" w14:textId="77777777" w:rsidR="00E82CE3" w:rsidRDefault="00793A01">
      <w:pPr>
        <w:pStyle w:val="RedaliaNormal"/>
      </w:pPr>
      <w:r>
        <w:rPr>
          <w:b/>
        </w:rPr>
        <w:t>- Cas 1 : Certificat émis par une Autorité de certification « reconnue » - Aucun justificatif à fournir</w:t>
      </w:r>
    </w:p>
    <w:p w14:paraId="1C1932CB" w14:textId="77777777" w:rsidR="00E82CE3" w:rsidRDefault="00E82CE3">
      <w:pPr>
        <w:pStyle w:val="RedaliaNormal"/>
      </w:pPr>
    </w:p>
    <w:p w14:paraId="0DBE64CD" w14:textId="77777777" w:rsidR="00E82CE3" w:rsidRDefault="00793A01">
      <w:pPr>
        <w:pStyle w:val="RedaliaNormal"/>
      </w:pPr>
      <w:r>
        <w:t>Le certificat de signature est émis par une Autorité de certification mentionnée dans la liste de confiance suivante :</w:t>
      </w:r>
    </w:p>
    <w:p w14:paraId="5C2DB1C9" w14:textId="77777777" w:rsidR="00E82CE3" w:rsidRDefault="00793A01">
      <w:pPr>
        <w:pStyle w:val="RedaliaNormal"/>
        <w:jc w:val="center"/>
      </w:pPr>
      <w:r>
        <w:t>https://www.ssi.gouv.fr/administration/visa-de-securite/</w:t>
      </w:r>
    </w:p>
    <w:p w14:paraId="600A5764" w14:textId="77777777" w:rsidR="00E82CE3" w:rsidRDefault="00E82CE3">
      <w:pPr>
        <w:pStyle w:val="RedaliaNormal"/>
      </w:pPr>
    </w:p>
    <w:p w14:paraId="07C77C56" w14:textId="77777777" w:rsidR="00E82CE3" w:rsidRDefault="00793A01">
      <w:pPr>
        <w:pStyle w:val="RedaliaNormal"/>
      </w:pPr>
      <w:r>
        <w:t>Les candidats européens trouveront également la liste complète des prestataires sur la liste de confiance tenue par la Commission européenne :</w:t>
      </w:r>
    </w:p>
    <w:p w14:paraId="0AF99D07" w14:textId="77777777" w:rsidR="00E82CE3" w:rsidRDefault="008442D6">
      <w:pPr>
        <w:pStyle w:val="RedaliaNormal"/>
        <w:jc w:val="center"/>
      </w:pPr>
      <w:hyperlink r:id="rId14" w:anchor="/tl/FR" w:history="1">
        <w:r w:rsidR="00793A01">
          <w:rPr>
            <w:rStyle w:val="Lienhypertexte"/>
          </w:rPr>
          <w:t>https://webgate.ec.europa.eu/tl-browser/#/tl/FR</w:t>
        </w:r>
      </w:hyperlink>
    </w:p>
    <w:p w14:paraId="2509C859" w14:textId="77777777" w:rsidR="00E82CE3" w:rsidRDefault="00E82CE3">
      <w:pPr>
        <w:pStyle w:val="RedaliaNormal"/>
      </w:pPr>
    </w:p>
    <w:p w14:paraId="0357B7A8" w14:textId="77777777" w:rsidR="00E82CE3" w:rsidRDefault="00793A01">
      <w:pPr>
        <w:pStyle w:val="RedaliaNormal"/>
      </w:pPr>
      <w:r>
        <w:t>Dans ce cas, le soumissionnaire n’a aucun justificatif à fournir sur le certificat de signature utilisé pour signer sa réponse.</w:t>
      </w:r>
    </w:p>
    <w:p w14:paraId="572D59C8" w14:textId="77777777" w:rsidR="00E82CE3" w:rsidRDefault="00E82CE3">
      <w:pPr>
        <w:pStyle w:val="RedaliaNormal"/>
      </w:pPr>
    </w:p>
    <w:p w14:paraId="01DA3EE1" w14:textId="77777777" w:rsidR="00E82CE3" w:rsidRDefault="00793A01">
      <w:pPr>
        <w:pStyle w:val="RedaliaNormal"/>
      </w:pPr>
      <w:r>
        <w:rPr>
          <w:b/>
        </w:rPr>
        <w:t>- Cas 2 : Le certificat de signature électronique n’est pas référencé sur une liste de confiance - Différents justificatifs à fournir</w:t>
      </w:r>
    </w:p>
    <w:p w14:paraId="2CAADC76" w14:textId="77777777" w:rsidR="00E82CE3" w:rsidRDefault="00E82CE3">
      <w:pPr>
        <w:pStyle w:val="RedaliaNormal"/>
      </w:pPr>
    </w:p>
    <w:p w14:paraId="31D8607B" w14:textId="77777777" w:rsidR="00E82CE3" w:rsidRDefault="00793A01">
      <w:pPr>
        <w:pStyle w:val="RedaliaNormal"/>
      </w:pPr>
      <w:r>
        <w:t>La plateforme de dématérialisation accepte tous les certificats de signature électronique présentant des conditions de sécurité équivalentes à celles du Référentiel général de sécurité (RGS) et « </w:t>
      </w:r>
      <w:proofErr w:type="spellStart"/>
      <w:r>
        <w:t>eIDAS</w:t>
      </w:r>
      <w:proofErr w:type="spellEnd"/>
      <w:r>
        <w:t> ».</w:t>
      </w:r>
    </w:p>
    <w:p w14:paraId="54FA0F59" w14:textId="77777777" w:rsidR="00E82CE3" w:rsidRDefault="00793A01">
      <w:pPr>
        <w:pStyle w:val="RedaliaNormal"/>
      </w:pPr>
      <w:r>
        <w:t>Le candidat s’assure par lui-même que le certificat qu’il utilise est au moins conforme au niveau de sécurité défini par le Référentiel général de sécurité (RGS) ou « </w:t>
      </w:r>
      <w:proofErr w:type="spellStart"/>
      <w:r>
        <w:t>eIDAS</w:t>
      </w:r>
      <w:proofErr w:type="spellEnd"/>
      <w:r>
        <w:t> », et en fournit les justificatifs dans sa réponse électronique.</w:t>
      </w:r>
    </w:p>
    <w:p w14:paraId="182B99CF" w14:textId="77777777" w:rsidR="00E82CE3" w:rsidRDefault="00793A01">
      <w:pPr>
        <w:pStyle w:val="RedaliaNormal"/>
      </w:pPr>
      <w:r>
        <w:t>Le candidat fournit également tous les éléments techniques permettant au pouvoir adjudicateur de s’assurer de la bonne validité technique du certificat utilisé.</w:t>
      </w:r>
    </w:p>
    <w:p w14:paraId="5BB850D2" w14:textId="77777777" w:rsidR="00E82CE3" w:rsidRDefault="00E82CE3">
      <w:pPr>
        <w:pStyle w:val="RedaliaNormal"/>
      </w:pPr>
    </w:p>
    <w:p w14:paraId="49017216" w14:textId="77777777" w:rsidR="00E82CE3" w:rsidRDefault="00793A01">
      <w:pPr>
        <w:pStyle w:val="RedaliaNormal"/>
      </w:pPr>
      <w:r>
        <w:t>Ainsi, le signataire doit transmettre avec sa réponse électronique les éléments suivants :</w:t>
      </w:r>
    </w:p>
    <w:p w14:paraId="5782A21D" w14:textId="77777777" w:rsidR="00E82CE3" w:rsidRDefault="00E82CE3">
      <w:pPr>
        <w:pStyle w:val="RedaliaNormal"/>
      </w:pPr>
    </w:p>
    <w:p w14:paraId="4992107F" w14:textId="77777777" w:rsidR="00E82CE3" w:rsidRDefault="00793A01">
      <w:pPr>
        <w:pStyle w:val="RedaliaNormal"/>
      </w:pPr>
      <w:r>
        <w:t xml:space="preserve">     a) tout élément permettant la vérification de la qualité et du niveau de sécurité du certificat de signature (preuve de la qualification de l’Autorité de certification, politique de certification, adresse du site internet du référencement de l’Autorité de certification),</w:t>
      </w:r>
    </w:p>
    <w:p w14:paraId="038FA970" w14:textId="77777777" w:rsidR="00E82CE3" w:rsidRDefault="00793A01">
      <w:pPr>
        <w:pStyle w:val="RedaliaNormal"/>
      </w:pPr>
      <w:r>
        <w:t xml:space="preserve">     b) les outils techniques de vérification du certificat (chaîne de certification complète jusqu’à l’Autorité de Certification racine, adresse de téléchargement de la dernière mise à jour de la liste de révocation des certificats).</w:t>
      </w:r>
    </w:p>
    <w:p w14:paraId="3963E43C" w14:textId="77777777" w:rsidR="00E82CE3" w:rsidRDefault="00E82CE3">
      <w:pPr>
        <w:pStyle w:val="RedaliaNormal"/>
      </w:pPr>
    </w:p>
    <w:p w14:paraId="4837B4A1" w14:textId="77777777" w:rsidR="00E82CE3" w:rsidRDefault="00793A01">
      <w:pPr>
        <w:pStyle w:val="RedaliaNormal"/>
      </w:pPr>
      <w:r>
        <w:lastRenderedPageBreak/>
        <w:t>Il est précisé que tous ces éléments doivent être d’accès et d’utilisation gratuits pour l’acheteur, et être accompagnés le cas échéant de notices d’utilisation claires.</w:t>
      </w:r>
    </w:p>
    <w:p w14:paraId="1C194E5F" w14:textId="77777777" w:rsidR="00E82CE3" w:rsidRDefault="00E82CE3">
      <w:pPr>
        <w:pStyle w:val="RedaliaNormal"/>
      </w:pPr>
    </w:p>
    <w:p w14:paraId="11E049BD" w14:textId="77777777" w:rsidR="00E82CE3" w:rsidRDefault="00793A01">
      <w:pPr>
        <w:pStyle w:val="RedaliaNormal"/>
      </w:pPr>
      <w:r>
        <w:rPr>
          <w:u w:val="single"/>
        </w:rPr>
        <w:t>Outil de signature utilisé pour signer les fichiers</w:t>
      </w:r>
      <w:r>
        <w:t xml:space="preserve"> :</w:t>
      </w:r>
    </w:p>
    <w:p w14:paraId="6479861D" w14:textId="77777777" w:rsidR="00E82CE3" w:rsidRDefault="00E82CE3">
      <w:pPr>
        <w:pStyle w:val="RedaliaNormal"/>
      </w:pPr>
    </w:p>
    <w:p w14:paraId="251AF80E" w14:textId="77777777" w:rsidR="00E82CE3" w:rsidRDefault="00793A01">
      <w:pPr>
        <w:pStyle w:val="RedaliaNormal"/>
      </w:pPr>
      <w:r>
        <w:t>La réglementation autorise le soumissionnaire à utiliser l’outil de signature de son choix.</w:t>
      </w:r>
    </w:p>
    <w:p w14:paraId="16AAEBAF" w14:textId="77777777" w:rsidR="00E82CE3" w:rsidRDefault="00E82CE3">
      <w:pPr>
        <w:pStyle w:val="RedaliaNormal"/>
      </w:pPr>
    </w:p>
    <w:p w14:paraId="36204DB3" w14:textId="77777777" w:rsidR="00E82CE3" w:rsidRDefault="00793A01">
      <w:pPr>
        <w:pStyle w:val="RedaliaNormal"/>
      </w:pPr>
      <w:r>
        <w:rPr>
          <w:b/>
        </w:rPr>
        <w:t>- Cas 1 : Le soumissionnaire utilise l’outil de signature de la plate-forme - Aucun justificatif à fournir</w:t>
      </w:r>
    </w:p>
    <w:p w14:paraId="10519D8D" w14:textId="77777777" w:rsidR="00E82CE3" w:rsidRDefault="00E82CE3">
      <w:pPr>
        <w:pStyle w:val="RedaliaNormal"/>
      </w:pPr>
    </w:p>
    <w:p w14:paraId="2615F5AD" w14:textId="77777777" w:rsidR="00E82CE3" w:rsidRDefault="00793A01">
      <w:pPr>
        <w:pStyle w:val="RedaliaNormal"/>
      </w:pPr>
      <w:r>
        <w:t xml:space="preserve">La plate-forme intègre un outil de signature électronique, qui réalise des Jetons de signature au format réglementaire </w:t>
      </w:r>
      <w:proofErr w:type="spellStart"/>
      <w:r>
        <w:t>XAdES</w:t>
      </w:r>
      <w:proofErr w:type="spellEnd"/>
      <w:r>
        <w:t>.</w:t>
      </w:r>
    </w:p>
    <w:p w14:paraId="337EC451" w14:textId="77777777" w:rsidR="00E82CE3" w:rsidRDefault="00E82CE3">
      <w:pPr>
        <w:pStyle w:val="RedaliaNormal"/>
      </w:pPr>
    </w:p>
    <w:p w14:paraId="213E226E" w14:textId="77777777" w:rsidR="00E82CE3" w:rsidRDefault="00793A01">
      <w:pPr>
        <w:pStyle w:val="RedaliaNormal"/>
      </w:pPr>
      <w:r>
        <w:t>Dans ce cas, le soumissionnaire n’a aucun justificatif à fournir sur les signatures électroniques transmises et l’outil de signature utilisé.</w:t>
      </w:r>
    </w:p>
    <w:p w14:paraId="67BBA8FB" w14:textId="77777777" w:rsidR="00E82CE3" w:rsidRDefault="00E82CE3">
      <w:pPr>
        <w:pStyle w:val="RedaliaNormal"/>
      </w:pPr>
    </w:p>
    <w:p w14:paraId="254E88EA" w14:textId="77777777" w:rsidR="00E82CE3" w:rsidRDefault="00793A01">
      <w:pPr>
        <w:pStyle w:val="RedaliaNormal"/>
      </w:pPr>
      <w:r>
        <w:rPr>
          <w:b/>
        </w:rPr>
        <w:t>- Cas 2 : Le soumissionnaire utilise un autre outil de signature que celui intégré à la plate-forme - Différents justificatifs à fournir</w:t>
      </w:r>
    </w:p>
    <w:p w14:paraId="50E749C8" w14:textId="77777777" w:rsidR="00E82CE3" w:rsidRDefault="00E82CE3">
      <w:pPr>
        <w:pStyle w:val="RedaliaNormal"/>
      </w:pPr>
    </w:p>
    <w:p w14:paraId="54065027" w14:textId="77777777" w:rsidR="00E82CE3" w:rsidRDefault="00793A01">
      <w:pPr>
        <w:pStyle w:val="RedaliaNormal"/>
      </w:pPr>
      <w:r>
        <w:t>Lorsque le candidat utilise un autre outil de signature que celui de la plate-forme, il doit respecter les deux obligations suivantes :</w:t>
      </w:r>
    </w:p>
    <w:p w14:paraId="113DC17C" w14:textId="77777777" w:rsidR="00E82CE3" w:rsidRDefault="00E82CE3">
      <w:pPr>
        <w:pStyle w:val="RedaliaNormal"/>
      </w:pPr>
    </w:p>
    <w:p w14:paraId="0934794F" w14:textId="77777777" w:rsidR="00E82CE3" w:rsidRDefault="00793A01">
      <w:pPr>
        <w:pStyle w:val="RedaliaNormal"/>
      </w:pPr>
      <w:r>
        <w:t xml:space="preserve">     a) Produire des formats de signature </w:t>
      </w:r>
      <w:proofErr w:type="spellStart"/>
      <w:r>
        <w:t>XAdES</w:t>
      </w:r>
      <w:proofErr w:type="spellEnd"/>
      <w:r>
        <w:t xml:space="preserve">, </w:t>
      </w:r>
      <w:proofErr w:type="spellStart"/>
      <w:r>
        <w:t>CAdES</w:t>
      </w:r>
      <w:proofErr w:type="spellEnd"/>
      <w:r>
        <w:t xml:space="preserve"> ou </w:t>
      </w:r>
      <w:proofErr w:type="spellStart"/>
      <w:r>
        <w:t>PAdES</w:t>
      </w:r>
      <w:proofErr w:type="spellEnd"/>
      <w:r>
        <w:t>.</w:t>
      </w:r>
    </w:p>
    <w:p w14:paraId="3D1E7536" w14:textId="77777777" w:rsidR="00E82CE3" w:rsidRDefault="00793A01">
      <w:pPr>
        <w:pStyle w:val="RedaliaNormal"/>
      </w:pPr>
      <w:r>
        <w:t xml:space="preserve">     b) Permettre la vérification en transmettant en parallèle les éléments nécessaires pour procéder à la vérification de la validité de la signature et de l’intégrité du document, et ce, gratuitement.</w:t>
      </w:r>
    </w:p>
    <w:p w14:paraId="54836438" w14:textId="77777777" w:rsidR="00E82CE3" w:rsidRDefault="00E82CE3">
      <w:pPr>
        <w:pStyle w:val="RedaliaNormal"/>
      </w:pPr>
    </w:p>
    <w:p w14:paraId="4FA89CBF" w14:textId="77777777" w:rsidR="00E82CE3" w:rsidRDefault="00793A01">
      <w:pPr>
        <w:pStyle w:val="RedaliaNormal"/>
      </w:pPr>
      <w:r>
        <w:t>Il est précisé que tous ces éléments doivent être d’accès et d’utilisation gratuits pour l’acheteur, et être accompagnés le cas échéant de notices d’utilisation claires.</w:t>
      </w:r>
    </w:p>
    <w:p w14:paraId="12923484" w14:textId="77777777" w:rsidR="00E82CE3" w:rsidRDefault="00E82CE3">
      <w:pPr>
        <w:pStyle w:val="RedaliaNormal"/>
      </w:pPr>
    </w:p>
    <w:sectPr w:rsidR="00E82CE3" w:rsidSect="000C508F">
      <w:headerReference w:type="default" r:id="rId15"/>
      <w:footerReference w:type="default" r:id="rId16"/>
      <w:pgSz w:w="11906" w:h="16838"/>
      <w:pgMar w:top="1843" w:right="991" w:bottom="1418"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E07F57" w14:textId="77777777" w:rsidR="008442D6" w:rsidRDefault="008442D6">
      <w:r>
        <w:separator/>
      </w:r>
    </w:p>
  </w:endnote>
  <w:endnote w:type="continuationSeparator" w:id="0">
    <w:p w14:paraId="5E45DB25" w14:textId="77777777" w:rsidR="008442D6" w:rsidRDefault="00844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B16EE" w14:textId="515A7371" w:rsidR="008442D6" w:rsidRDefault="008442D6">
    <w:pPr>
      <w:pStyle w:val="RedaliaNormal"/>
      <w:jc w:val="right"/>
    </w:pPr>
    <w:r>
      <w:rPr>
        <w:sz w:val="18"/>
        <w:szCs w:val="18"/>
      </w:rPr>
      <w:t xml:space="preserve">Page </w:t>
    </w:r>
    <w:r>
      <w:rPr>
        <w:b/>
        <w:bCs/>
        <w:sz w:val="18"/>
        <w:szCs w:val="18"/>
      </w:rPr>
      <w:fldChar w:fldCharType="begin"/>
    </w:r>
    <w:r>
      <w:rPr>
        <w:b/>
        <w:bCs/>
        <w:sz w:val="18"/>
        <w:szCs w:val="18"/>
      </w:rPr>
      <w:instrText xml:space="preserve"> PAGE \* ARABIC </w:instrText>
    </w:r>
    <w:r>
      <w:rPr>
        <w:b/>
        <w:bCs/>
        <w:sz w:val="18"/>
        <w:szCs w:val="18"/>
      </w:rPr>
      <w:fldChar w:fldCharType="separate"/>
    </w:r>
    <w:r w:rsidR="003E6AB7">
      <w:rPr>
        <w:b/>
        <w:bCs/>
        <w:noProof/>
        <w:sz w:val="18"/>
        <w:szCs w:val="18"/>
      </w:rPr>
      <w:t>19</w:t>
    </w:r>
    <w:r>
      <w:rPr>
        <w:b/>
        <w:bCs/>
        <w:sz w:val="18"/>
        <w:szCs w:val="18"/>
      </w:rPr>
      <w:fldChar w:fldCharType="end"/>
    </w:r>
    <w:r>
      <w:rPr>
        <w:sz w:val="18"/>
        <w:szCs w:val="18"/>
      </w:rPr>
      <w:t xml:space="preserve"> sur </w:t>
    </w:r>
    <w:r>
      <w:rPr>
        <w:b/>
        <w:bCs/>
        <w:sz w:val="18"/>
        <w:szCs w:val="18"/>
      </w:rPr>
      <w:fldChar w:fldCharType="begin"/>
    </w:r>
    <w:r>
      <w:rPr>
        <w:b/>
        <w:bCs/>
        <w:sz w:val="18"/>
        <w:szCs w:val="18"/>
      </w:rPr>
      <w:instrText xml:space="preserve"> NUMPAGES \* ARABIC </w:instrText>
    </w:r>
    <w:r>
      <w:rPr>
        <w:b/>
        <w:bCs/>
        <w:sz w:val="18"/>
        <w:szCs w:val="18"/>
      </w:rPr>
      <w:fldChar w:fldCharType="separate"/>
    </w:r>
    <w:r w:rsidR="003E6AB7">
      <w:rPr>
        <w:b/>
        <w:bCs/>
        <w:noProof/>
        <w:sz w:val="18"/>
        <w:szCs w:val="18"/>
      </w:rPr>
      <w:t>19</w:t>
    </w:r>
    <w:r>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E5CD46" w14:textId="77777777" w:rsidR="008442D6" w:rsidRDefault="008442D6">
      <w:r>
        <w:rPr>
          <w:color w:val="000000"/>
        </w:rPr>
        <w:separator/>
      </w:r>
    </w:p>
  </w:footnote>
  <w:footnote w:type="continuationSeparator" w:id="0">
    <w:p w14:paraId="1EBF83C0" w14:textId="77777777" w:rsidR="008442D6" w:rsidRDefault="00844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2" w:type="dxa"/>
      <w:tblLayout w:type="fixed"/>
      <w:tblCellMar>
        <w:left w:w="10" w:type="dxa"/>
        <w:right w:w="10" w:type="dxa"/>
      </w:tblCellMar>
      <w:tblLook w:val="0000" w:firstRow="0" w:lastRow="0" w:firstColumn="0" w:lastColumn="0" w:noHBand="0" w:noVBand="0"/>
    </w:tblPr>
    <w:tblGrid>
      <w:gridCol w:w="1384"/>
      <w:gridCol w:w="7828"/>
    </w:tblGrid>
    <w:tr w:rsidR="008442D6" w14:paraId="23FBDF24" w14:textId="77777777">
      <w:tc>
        <w:tcPr>
          <w:tcW w:w="1384" w:type="dxa"/>
          <w:shd w:val="clear" w:color="auto" w:fill="auto"/>
          <w:tcMar>
            <w:top w:w="0" w:type="dxa"/>
            <w:left w:w="108" w:type="dxa"/>
            <w:bottom w:w="0" w:type="dxa"/>
            <w:right w:w="108" w:type="dxa"/>
          </w:tcMar>
        </w:tcPr>
        <w:p w14:paraId="1038CAB0" w14:textId="77777777" w:rsidR="008442D6" w:rsidRDefault="008442D6">
          <w:pPr>
            <w:pStyle w:val="RedaliaNormal"/>
          </w:pPr>
        </w:p>
      </w:tc>
      <w:tc>
        <w:tcPr>
          <w:tcW w:w="7828" w:type="dxa"/>
          <w:tcBorders>
            <w:bottom w:val="single" w:sz="4" w:space="0" w:color="000000"/>
          </w:tcBorders>
          <w:shd w:val="clear" w:color="auto" w:fill="auto"/>
          <w:tcMar>
            <w:top w:w="0" w:type="dxa"/>
            <w:left w:w="108" w:type="dxa"/>
            <w:bottom w:w="0" w:type="dxa"/>
            <w:right w:w="108" w:type="dxa"/>
          </w:tcMar>
        </w:tcPr>
        <w:p w14:paraId="6DC46FA4" w14:textId="73510B67" w:rsidR="008442D6" w:rsidRDefault="008442D6">
          <w:pPr>
            <w:pStyle w:val="RdaliaLgende"/>
            <w:jc w:val="right"/>
          </w:pPr>
          <w:r>
            <w:t xml:space="preserve"> TPE-2025-0105</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B0202"/>
    <w:multiLevelType w:val="multilevel"/>
    <w:tmpl w:val="67CED25E"/>
    <w:styleLink w:val="LFO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38E13B7"/>
    <w:multiLevelType w:val="multilevel"/>
    <w:tmpl w:val="1BB07518"/>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3E63908"/>
    <w:multiLevelType w:val="multilevel"/>
    <w:tmpl w:val="6046C372"/>
    <w:styleLink w:val="LFO22"/>
    <w:lvl w:ilvl="0">
      <w:numFmt w:val="bullet"/>
      <w:pStyle w:val="StyleAvecPuceGras"/>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3" w15:restartNumberingAfterBreak="0">
    <w:nsid w:val="06731F01"/>
    <w:multiLevelType w:val="multilevel"/>
    <w:tmpl w:val="5394AA72"/>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79213FA"/>
    <w:multiLevelType w:val="multilevel"/>
    <w:tmpl w:val="382A109A"/>
    <w:styleLink w:val="LFO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08C21AD5"/>
    <w:multiLevelType w:val="multilevel"/>
    <w:tmpl w:val="41EECB3A"/>
    <w:styleLink w:val="LFO28"/>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0A231A6B"/>
    <w:multiLevelType w:val="multilevel"/>
    <w:tmpl w:val="68483134"/>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0B2D78CD"/>
    <w:multiLevelType w:val="multilevel"/>
    <w:tmpl w:val="50E48CFC"/>
    <w:styleLink w:val="LFO29"/>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FF14E99"/>
    <w:multiLevelType w:val="multilevel"/>
    <w:tmpl w:val="6A7A4DF8"/>
    <w:lvl w:ilvl="0">
      <w:start w:val="1"/>
      <w:numFmt w:val="bullet"/>
      <w:lvlText w:val=""/>
      <w:lvlJc w:val="left"/>
      <w:pPr>
        <w:ind w:left="1080" w:hanging="72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10AC3991"/>
    <w:multiLevelType w:val="multilevel"/>
    <w:tmpl w:val="3C2CC7C2"/>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14CF7625"/>
    <w:multiLevelType w:val="multilevel"/>
    <w:tmpl w:val="9028CAA2"/>
    <w:styleLink w:val="WWOutlineListStyle1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15075E1B"/>
    <w:multiLevelType w:val="multilevel"/>
    <w:tmpl w:val="6A7A4DF8"/>
    <w:lvl w:ilvl="0">
      <w:start w:val="1"/>
      <w:numFmt w:val="bullet"/>
      <w:lvlText w:val=""/>
      <w:lvlJc w:val="left"/>
      <w:pPr>
        <w:ind w:left="1080" w:hanging="72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55D4E59"/>
    <w:multiLevelType w:val="multilevel"/>
    <w:tmpl w:val="CFAC7B14"/>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1769415B"/>
    <w:multiLevelType w:val="multilevel"/>
    <w:tmpl w:val="E1F89364"/>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191A2E1B"/>
    <w:multiLevelType w:val="multilevel"/>
    <w:tmpl w:val="D5BAB6E6"/>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1A572A76"/>
    <w:multiLevelType w:val="multilevel"/>
    <w:tmpl w:val="5162A11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6" w15:restartNumberingAfterBreak="0">
    <w:nsid w:val="1C285752"/>
    <w:multiLevelType w:val="multilevel"/>
    <w:tmpl w:val="456480CA"/>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24EF13FB"/>
    <w:multiLevelType w:val="multilevel"/>
    <w:tmpl w:val="8C66C776"/>
    <w:styleLink w:val="LFO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2F8713BE"/>
    <w:multiLevelType w:val="hybridMultilevel"/>
    <w:tmpl w:val="82C083F6"/>
    <w:lvl w:ilvl="0" w:tplc="04FED8A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0281902"/>
    <w:multiLevelType w:val="multilevel"/>
    <w:tmpl w:val="4BAC7024"/>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87F0E96"/>
    <w:multiLevelType w:val="multilevel"/>
    <w:tmpl w:val="A1B63D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3EE22AF2"/>
    <w:multiLevelType w:val="multilevel"/>
    <w:tmpl w:val="7FEE509C"/>
    <w:styleLink w:val="WWOutlineListStyle5"/>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2" w15:restartNumberingAfterBreak="0">
    <w:nsid w:val="42D17C5E"/>
    <w:multiLevelType w:val="multilevel"/>
    <w:tmpl w:val="D1482F14"/>
    <w:lvl w:ilvl="0">
      <w:numFmt w:val="bullet"/>
      <w:lvlText w:val=""/>
      <w:lvlJc w:val="left"/>
      <w:pPr>
        <w:ind w:left="720" w:hanging="360"/>
      </w:pPr>
      <w:rPr>
        <w:rFonts w:ascii="Symbol" w:eastAsia="ITC Avant Garde Std Bk" w:hAnsi="Symbol"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430D7B87"/>
    <w:multiLevelType w:val="multilevel"/>
    <w:tmpl w:val="8CBC9E8C"/>
    <w:styleLink w:val="LFO23"/>
    <w:lvl w:ilvl="0">
      <w:numFmt w:val="bullet"/>
      <w:pStyle w:val="Chapitre2"/>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4" w15:restartNumberingAfterBreak="0">
    <w:nsid w:val="47DC03C9"/>
    <w:multiLevelType w:val="multilevel"/>
    <w:tmpl w:val="DAC09D72"/>
    <w:styleLink w:val="LFO18"/>
    <w:lvl w:ilvl="0">
      <w:start w:val="1"/>
      <w:numFmt w:val="decimal"/>
      <w:suff w:val="space"/>
      <w:lvlText w:val="%1."/>
      <w:lvlJc w:val="left"/>
      <w:pPr>
        <w:ind w:left="360" w:hanging="360"/>
      </w:pPr>
      <w:rPr>
        <w:rFonts w:cs="Times New Roman"/>
      </w:rPr>
    </w:lvl>
    <w:lvl w:ilvl="1">
      <w:start w:val="1"/>
      <w:numFmt w:val="decimal"/>
      <w:suff w:val="space"/>
      <w:lvlText w:val="%1.%2"/>
      <w:lvlJc w:val="left"/>
      <w:pPr>
        <w:ind w:left="720" w:hanging="360"/>
      </w:pPr>
      <w:rPr>
        <w:rFonts w:cs="Times New Roman"/>
      </w:rPr>
    </w:lvl>
    <w:lvl w:ilvl="2">
      <w:start w:val="1"/>
      <w:numFmt w:val="decimal"/>
      <w:suff w:val="space"/>
      <w:lvlText w:val="%1.%2.%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15:restartNumberingAfterBreak="0">
    <w:nsid w:val="4B071AFF"/>
    <w:multiLevelType w:val="multilevel"/>
    <w:tmpl w:val="C4A6BE0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4D5E6087"/>
    <w:multiLevelType w:val="multilevel"/>
    <w:tmpl w:val="B2F630C2"/>
    <w:styleLink w:val="LFO20"/>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15:restartNumberingAfterBreak="0">
    <w:nsid w:val="501D38A8"/>
    <w:multiLevelType w:val="multilevel"/>
    <w:tmpl w:val="AC0CD00C"/>
    <w:styleLink w:val="WWOutlineListStyle1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63D35C5B"/>
    <w:multiLevelType w:val="multilevel"/>
    <w:tmpl w:val="BE289926"/>
    <w:lvl w:ilvl="0">
      <w:numFmt w:val="bullet"/>
      <w:lvlText w:val="-"/>
      <w:lvlJc w:val="left"/>
      <w:pPr>
        <w:ind w:left="360" w:hanging="360"/>
      </w:pPr>
      <w:rPr>
        <w:rFonts w:ascii="Century Gothic" w:eastAsia="Calibri" w:hAnsi="Century Gothic"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67032377"/>
    <w:multiLevelType w:val="multilevel"/>
    <w:tmpl w:val="651A01F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728A6D53"/>
    <w:multiLevelType w:val="multilevel"/>
    <w:tmpl w:val="C75E1736"/>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1" w15:restartNumberingAfterBreak="0">
    <w:nsid w:val="78DE3785"/>
    <w:multiLevelType w:val="hybridMultilevel"/>
    <w:tmpl w:val="C3A876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44030E"/>
    <w:multiLevelType w:val="multilevel"/>
    <w:tmpl w:val="D88886BA"/>
    <w:styleLink w:val="LFO24"/>
    <w:lvl w:ilvl="0">
      <w:numFmt w:val="bullet"/>
      <w:pStyle w:val="Elmentrecens"/>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3" w15:restartNumberingAfterBreak="0">
    <w:nsid w:val="7D236BDE"/>
    <w:multiLevelType w:val="multilevel"/>
    <w:tmpl w:val="D93C5F2A"/>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7DDB064A"/>
    <w:multiLevelType w:val="multilevel"/>
    <w:tmpl w:val="D236D8AE"/>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7DF6213D"/>
    <w:multiLevelType w:val="multilevel"/>
    <w:tmpl w:val="A008E20A"/>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6" w15:restartNumberingAfterBreak="0">
    <w:nsid w:val="7E486AC2"/>
    <w:multiLevelType w:val="multilevel"/>
    <w:tmpl w:val="DC92688A"/>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21"/>
  </w:num>
  <w:num w:numId="2">
    <w:abstractNumId w:val="1"/>
  </w:num>
  <w:num w:numId="3">
    <w:abstractNumId w:val="27"/>
  </w:num>
  <w:num w:numId="4">
    <w:abstractNumId w:val="36"/>
  </w:num>
  <w:num w:numId="5">
    <w:abstractNumId w:val="30"/>
  </w:num>
  <w:num w:numId="6">
    <w:abstractNumId w:val="35"/>
  </w:num>
  <w:num w:numId="7">
    <w:abstractNumId w:val="9"/>
  </w:num>
  <w:num w:numId="8">
    <w:abstractNumId w:val="6"/>
  </w:num>
  <w:num w:numId="9">
    <w:abstractNumId w:val="33"/>
  </w:num>
  <w:num w:numId="10">
    <w:abstractNumId w:val="14"/>
  </w:num>
  <w:num w:numId="11">
    <w:abstractNumId w:val="10"/>
  </w:num>
  <w:num w:numId="12">
    <w:abstractNumId w:val="15"/>
  </w:num>
  <w:num w:numId="13">
    <w:abstractNumId w:val="34"/>
  </w:num>
  <w:num w:numId="14">
    <w:abstractNumId w:val="4"/>
  </w:num>
  <w:num w:numId="15">
    <w:abstractNumId w:val="17"/>
  </w:num>
  <w:num w:numId="16">
    <w:abstractNumId w:val="24"/>
  </w:num>
  <w:num w:numId="17">
    <w:abstractNumId w:val="26"/>
  </w:num>
  <w:num w:numId="18">
    <w:abstractNumId w:val="0"/>
  </w:num>
  <w:num w:numId="19">
    <w:abstractNumId w:val="2"/>
  </w:num>
  <w:num w:numId="20">
    <w:abstractNumId w:val="23"/>
  </w:num>
  <w:num w:numId="21">
    <w:abstractNumId w:val="32"/>
  </w:num>
  <w:num w:numId="22">
    <w:abstractNumId w:val="5"/>
  </w:num>
  <w:num w:numId="23">
    <w:abstractNumId w:val="7"/>
  </w:num>
  <w:num w:numId="24">
    <w:abstractNumId w:val="12"/>
  </w:num>
  <w:num w:numId="25">
    <w:abstractNumId w:val="13"/>
  </w:num>
  <w:num w:numId="26">
    <w:abstractNumId w:val="3"/>
  </w:num>
  <w:num w:numId="27">
    <w:abstractNumId w:val="19"/>
  </w:num>
  <w:num w:numId="28">
    <w:abstractNumId w:val="26"/>
  </w:num>
  <w:num w:numId="29">
    <w:abstractNumId w:val="8"/>
  </w:num>
  <w:num w:numId="30">
    <w:abstractNumId w:val="20"/>
  </w:num>
  <w:num w:numId="31">
    <w:abstractNumId w:val="22"/>
  </w:num>
  <w:num w:numId="32">
    <w:abstractNumId w:val="29"/>
  </w:num>
  <w:num w:numId="33">
    <w:abstractNumId w:val="16"/>
  </w:num>
  <w:num w:numId="34">
    <w:abstractNumId w:val="4"/>
  </w:num>
  <w:num w:numId="35">
    <w:abstractNumId w:val="17"/>
  </w:num>
  <w:num w:numId="36">
    <w:abstractNumId w:val="25"/>
  </w:num>
  <w:num w:numId="37">
    <w:abstractNumId w:val="28"/>
  </w:num>
  <w:num w:numId="38">
    <w:abstractNumId w:val="21"/>
  </w:num>
  <w:num w:numId="39">
    <w:abstractNumId w:val="21"/>
  </w:num>
  <w:num w:numId="40">
    <w:abstractNumId w:val="18"/>
  </w:num>
  <w:num w:numId="41">
    <w:abstractNumId w:val="11"/>
  </w:num>
  <w:num w:numId="42">
    <w:abstractNumId w:val="20"/>
  </w:num>
  <w:num w:numId="43">
    <w:abstractNumId w:val="22"/>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CE3"/>
    <w:rsid w:val="00050437"/>
    <w:rsid w:val="00081577"/>
    <w:rsid w:val="000C508F"/>
    <w:rsid w:val="000C7498"/>
    <w:rsid w:val="001F4D46"/>
    <w:rsid w:val="00221FC6"/>
    <w:rsid w:val="00247DE2"/>
    <w:rsid w:val="002B4429"/>
    <w:rsid w:val="002E3540"/>
    <w:rsid w:val="00380369"/>
    <w:rsid w:val="00382EE2"/>
    <w:rsid w:val="003B2B8B"/>
    <w:rsid w:val="003E6AB7"/>
    <w:rsid w:val="003F1A3F"/>
    <w:rsid w:val="004120C3"/>
    <w:rsid w:val="0042312C"/>
    <w:rsid w:val="0043520B"/>
    <w:rsid w:val="004416B1"/>
    <w:rsid w:val="0046239B"/>
    <w:rsid w:val="004A7EBB"/>
    <w:rsid w:val="004F414D"/>
    <w:rsid w:val="005319BD"/>
    <w:rsid w:val="005646CF"/>
    <w:rsid w:val="00570E1A"/>
    <w:rsid w:val="005748A5"/>
    <w:rsid w:val="005C2492"/>
    <w:rsid w:val="005C44AE"/>
    <w:rsid w:val="005D58AF"/>
    <w:rsid w:val="006347B0"/>
    <w:rsid w:val="0066105A"/>
    <w:rsid w:val="006970FA"/>
    <w:rsid w:val="006C0847"/>
    <w:rsid w:val="006E01F9"/>
    <w:rsid w:val="00757DDB"/>
    <w:rsid w:val="007740AF"/>
    <w:rsid w:val="00793A01"/>
    <w:rsid w:val="007B3E54"/>
    <w:rsid w:val="007E5FBD"/>
    <w:rsid w:val="0081768D"/>
    <w:rsid w:val="00817E7A"/>
    <w:rsid w:val="00840595"/>
    <w:rsid w:val="008442D6"/>
    <w:rsid w:val="0087030A"/>
    <w:rsid w:val="009B7E2B"/>
    <w:rsid w:val="009D10BF"/>
    <w:rsid w:val="009D2F62"/>
    <w:rsid w:val="00A1126B"/>
    <w:rsid w:val="00A54BDD"/>
    <w:rsid w:val="00A647EC"/>
    <w:rsid w:val="00A94B90"/>
    <w:rsid w:val="00AC35D7"/>
    <w:rsid w:val="00AD1801"/>
    <w:rsid w:val="00AF6118"/>
    <w:rsid w:val="00B45208"/>
    <w:rsid w:val="00B66DB5"/>
    <w:rsid w:val="00B7159E"/>
    <w:rsid w:val="00BE5D01"/>
    <w:rsid w:val="00BF281E"/>
    <w:rsid w:val="00BF6167"/>
    <w:rsid w:val="00C3573F"/>
    <w:rsid w:val="00C45B61"/>
    <w:rsid w:val="00C501ED"/>
    <w:rsid w:val="00C642CD"/>
    <w:rsid w:val="00C95A8E"/>
    <w:rsid w:val="00CE79AD"/>
    <w:rsid w:val="00D03058"/>
    <w:rsid w:val="00DA0DB5"/>
    <w:rsid w:val="00DE1335"/>
    <w:rsid w:val="00E82CE3"/>
    <w:rsid w:val="00F67F78"/>
    <w:rsid w:val="00F819D2"/>
    <w:rsid w:val="00F90336"/>
    <w:rsid w:val="00F91F8C"/>
    <w:rsid w:val="00FA25A8"/>
    <w:rsid w:val="00FA3CCF"/>
    <w:rsid w:val="00FB1D2E"/>
    <w:rsid w:val="00FD31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EF8C4ED"/>
  <w15:docId w15:val="{8FE41498-1BAA-406E-97A8-329480692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5">
    <w:name w:val="WW_OutlineListStyle_5"/>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Standard">
    <w:name w:val="Standard"/>
  </w:style>
  <w:style w:type="paragraph" w:customStyle="1" w:styleId="RedaliaTitredocument">
    <w:name w:val="Redalia : Titre document"/>
    <w:basedOn w:val="RedaliaNormal"/>
    <w:pPr>
      <w:jc w:val="center"/>
    </w:pPr>
    <w:rPr>
      <w:b/>
      <w:sz w:val="40"/>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4"/>
      </w:numPr>
    </w:pPr>
  </w:style>
  <w:style w:type="paragraph" w:customStyle="1" w:styleId="RdaliaTableau">
    <w:name w:val="Rédalia : Tableau"/>
    <w:basedOn w:val="RedaliaNormal"/>
    <w:pPr>
      <w:numPr>
        <w:numId w:val="25"/>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2"/>
      </w:numPr>
      <w:tabs>
        <w:tab w:val="clear" w:pos="8505"/>
        <w:tab w:val="left" w:pos="-852"/>
        <w:tab w:val="left" w:pos="7370"/>
      </w:tabs>
    </w:p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TM6">
    <w:name w:val="toc 6"/>
    <w:basedOn w:val="Normal"/>
    <w:next w:val="Normal"/>
    <w:autoRedefine/>
    <w:pPr>
      <w:ind w:left="960"/>
    </w:pPr>
  </w:style>
  <w:style w:type="paragraph" w:styleId="TM7">
    <w:name w:val="toc 7"/>
    <w:basedOn w:val="Normal"/>
    <w:next w:val="Normal"/>
    <w:autoRedefine/>
    <w:pPr>
      <w:ind w:left="1200"/>
    </w:pPr>
  </w:style>
  <w:style w:type="paragraph" w:styleId="TM8">
    <w:name w:val="toc 8"/>
    <w:basedOn w:val="Normal"/>
    <w:next w:val="Normal"/>
    <w:autoRedefine/>
    <w:pPr>
      <w:ind w:left="1440"/>
    </w:pPr>
  </w:style>
  <w:style w:type="paragraph" w:styleId="TM9">
    <w:name w:val="toc 9"/>
    <w:basedOn w:val="Normal"/>
    <w:next w:val="Normal"/>
    <w:autoRedefine/>
    <w:pPr>
      <w:ind w:left="1680"/>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AvecPuce">
    <w:name w:val="Avec Puce"/>
    <w:basedOn w:val="Normal"/>
    <w:pPr>
      <w:tabs>
        <w:tab w:val="left" w:pos="2596"/>
      </w:tabs>
      <w:spacing w:after="120"/>
    </w:pPr>
  </w:style>
  <w:style w:type="paragraph" w:customStyle="1" w:styleId="Chapitre">
    <w:name w:val="Chapitre"/>
    <w:basedOn w:val="Normal"/>
    <w:pPr>
      <w:tabs>
        <w:tab w:val="left" w:pos="0"/>
      </w:tabs>
      <w:spacing w:before="240" w:after="240"/>
    </w:pPr>
    <w:rPr>
      <w:rFonts w:ascii="Arial Narrow" w:eastAsia="Arial Narrow" w:hAnsi="Arial Narrow" w:cs="Arial Narrow"/>
      <w:color w:val="003366"/>
      <w:sz w:val="36"/>
      <w:szCs w:val="36"/>
    </w:rPr>
  </w:style>
  <w:style w:type="paragraph" w:customStyle="1" w:styleId="Chapitre2">
    <w:name w:val="Chapitre 2"/>
    <w:basedOn w:val="Chapitre"/>
    <w:pPr>
      <w:numPr>
        <w:numId w:val="20"/>
      </w:numPr>
      <w:pBdr>
        <w:top w:val="single" w:sz="12" w:space="1" w:color="003366"/>
        <w:left w:val="single" w:sz="12" w:space="4" w:color="003366"/>
        <w:bottom w:val="single" w:sz="12" w:space="1" w:color="003366"/>
        <w:right w:val="single" w:sz="12" w:space="4" w:color="003366"/>
      </w:pBdr>
      <w:shd w:val="clear" w:color="auto" w:fill="E0E0E0"/>
      <w:tabs>
        <w:tab w:val="clear" w:pos="0"/>
      </w:tabs>
      <w:spacing w:before="360" w:after="0"/>
    </w:pPr>
    <w:rPr>
      <w:rFonts w:ascii="Tahoma" w:eastAsia="Tahoma" w:hAnsi="Tahoma" w:cs="Tahoma"/>
      <w:b/>
      <w:bCs/>
      <w:sz w:val="24"/>
      <w:szCs w:val="24"/>
    </w:rPr>
  </w:style>
  <w:style w:type="paragraph" w:styleId="Commentaire">
    <w:name w:val="annotation text"/>
    <w:basedOn w:val="Normal"/>
  </w:style>
  <w:style w:type="paragraph" w:styleId="Corpsdetexte">
    <w:name w:val="Body Text"/>
    <w:basedOn w:val="Normal"/>
  </w:style>
  <w:style w:type="paragraph" w:styleId="Corpsdetexte2">
    <w:name w:val="Body Text 2"/>
    <w:basedOn w:val="Normal"/>
    <w:pPr>
      <w:jc w:val="center"/>
    </w:pPr>
    <w:rPr>
      <w:sz w:val="16"/>
      <w:szCs w:val="16"/>
    </w:rPr>
  </w:style>
  <w:style w:type="paragraph" w:styleId="Corpsdetexte3">
    <w:name w:val="Body Text 3"/>
    <w:basedOn w:val="Normal"/>
    <w:rPr>
      <w:i/>
      <w:iCs/>
    </w:rPr>
  </w:style>
  <w:style w:type="paragraph" w:customStyle="1" w:styleId="Elmentrecens">
    <w:name w:val="Elément recensé"/>
    <w:basedOn w:val="Normal"/>
    <w:pPr>
      <w:numPr>
        <w:numId w:val="21"/>
      </w:numPr>
      <w:tabs>
        <w:tab w:val="left" w:pos="-3676"/>
      </w:tabs>
    </w:pPr>
  </w:style>
  <w:style w:type="paragraph" w:styleId="NormalWeb">
    <w:name w:val="Normal (Web)"/>
    <w:basedOn w:val="Normal"/>
    <w:pPr>
      <w:spacing w:before="100" w:after="100"/>
    </w:pPr>
  </w:style>
  <w:style w:type="paragraph" w:styleId="Retraitcorpsdetexte">
    <w:name w:val="Body Text Indent"/>
    <w:basedOn w:val="Normal"/>
    <w:pPr>
      <w:ind w:left="540"/>
    </w:pPr>
  </w:style>
  <w:style w:type="paragraph" w:customStyle="1" w:styleId="StyleAvecPuceGras">
    <w:name w:val="Style Avec Puce + Gras"/>
    <w:basedOn w:val="AvecPuce"/>
    <w:pPr>
      <w:numPr>
        <w:numId w:val="19"/>
      </w:numPr>
    </w:pPr>
    <w:rPr>
      <w:b/>
      <w:bCs/>
    </w:rPr>
  </w:style>
  <w:style w:type="paragraph" w:styleId="Textedebulles">
    <w:name w:val="Balloon Text"/>
    <w:basedOn w:val="Normal"/>
    <w:rPr>
      <w:rFonts w:ascii="Tahoma" w:eastAsia="Tahoma" w:hAnsi="Tahoma" w:cs="Tahoma"/>
      <w:sz w:val="16"/>
      <w:szCs w:val="16"/>
    </w:rPr>
  </w:style>
  <w:style w:type="paragraph" w:styleId="Titre">
    <w:name w:val="Title"/>
    <w:basedOn w:val="Normal"/>
    <w:pPr>
      <w:jc w:val="center"/>
    </w:pPr>
    <w:rPr>
      <w:rFonts w:ascii="Tahoma" w:eastAsia="Tahoma" w:hAnsi="Tahoma" w:cs="Tahoma"/>
      <w:b/>
      <w:bCs/>
      <w:sz w:val="28"/>
      <w:szCs w:val="28"/>
    </w:rPr>
  </w:style>
  <w:style w:type="paragraph" w:customStyle="1" w:styleId="xl24">
    <w:name w:val="xl24"/>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12"/>
      <w:szCs w:val="12"/>
    </w:rPr>
  </w:style>
  <w:style w:type="paragraph" w:customStyle="1" w:styleId="xl25">
    <w:name w:val="xl25"/>
    <w:basedOn w:val="Normal"/>
    <w:pPr>
      <w:spacing w:before="100" w:after="100"/>
    </w:pPr>
    <w:rPr>
      <w:sz w:val="12"/>
      <w:szCs w:val="12"/>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textAlignment w:val="top"/>
    </w:pPr>
    <w:rPr>
      <w:b/>
      <w:bCs/>
      <w:sz w:val="12"/>
      <w:szCs w:val="12"/>
    </w:rPr>
  </w:style>
  <w:style w:type="paragraph" w:customStyle="1" w:styleId="xl28">
    <w:name w:val="xl28"/>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pPr>
    <w:rPr>
      <w:sz w:val="12"/>
      <w:szCs w:val="12"/>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textAlignment w:val="center"/>
    </w:pPr>
    <w:rPr>
      <w:sz w:val="12"/>
      <w:szCs w:val="12"/>
    </w:rPr>
  </w:style>
  <w:style w:type="paragraph" w:customStyle="1" w:styleId="xl30">
    <w:name w:val="xl30"/>
    <w:basedOn w:val="Normal"/>
    <w:pPr>
      <w:pBdr>
        <w:top w:val="single" w:sz="4" w:space="0" w:color="000000"/>
        <w:left w:val="single" w:sz="4" w:space="0" w:color="000000"/>
        <w:bottom w:val="single" w:sz="4" w:space="0" w:color="000000"/>
        <w:right w:val="single" w:sz="4" w:space="0" w:color="000000"/>
      </w:pBdr>
      <w:shd w:val="clear" w:color="auto" w:fill="CCFFCC"/>
      <w:spacing w:before="100" w:after="100"/>
    </w:pPr>
    <w:rPr>
      <w:sz w:val="12"/>
      <w:szCs w:val="12"/>
    </w:rPr>
  </w:style>
  <w:style w:type="paragraph" w:customStyle="1" w:styleId="xl31">
    <w:name w:val="xl31"/>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32">
    <w:name w:val="xl32"/>
    <w:basedOn w:val="Normal"/>
    <w:pPr>
      <w:pBdr>
        <w:top w:val="single" w:sz="4" w:space="0" w:color="000000"/>
        <w:left w:val="single" w:sz="4" w:space="0" w:color="000000"/>
        <w:bottom w:val="single" w:sz="4" w:space="0" w:color="000000"/>
        <w:right w:val="single" w:sz="4" w:space="0" w:color="000000"/>
      </w:pBdr>
      <w:shd w:val="clear" w:color="auto" w:fill="CCFFFF"/>
      <w:spacing w:before="100" w:after="100"/>
    </w:pPr>
    <w:rPr>
      <w:sz w:val="12"/>
      <w:szCs w:val="12"/>
    </w:rPr>
  </w:style>
  <w:style w:type="paragraph" w:customStyle="1" w:styleId="xl33">
    <w:name w:val="xl33"/>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b/>
      <w:bCs/>
      <w:sz w:val="12"/>
      <w:szCs w:val="12"/>
    </w:rPr>
  </w:style>
  <w:style w:type="paragraph" w:customStyle="1" w:styleId="xl34">
    <w:name w:val="xl34"/>
    <w:basedOn w:val="Normal"/>
    <w:pPr>
      <w:spacing w:before="100" w:after="100"/>
      <w:textAlignment w:val="top"/>
    </w:pPr>
    <w:rPr>
      <w:sz w:val="12"/>
      <w:szCs w:val="12"/>
    </w:rPr>
  </w:style>
  <w:style w:type="paragraph" w:customStyle="1" w:styleId="xl35">
    <w:name w:val="xl35"/>
    <w:basedOn w:val="Normal"/>
    <w:pPr>
      <w:spacing w:before="100" w:after="100"/>
    </w:pPr>
    <w:rPr>
      <w:sz w:val="12"/>
      <w:szCs w:val="12"/>
    </w:rPr>
  </w:style>
  <w:style w:type="paragraph" w:customStyle="1" w:styleId="xl36">
    <w:name w:val="xl36"/>
    <w:basedOn w:val="Normal"/>
    <w:pPr>
      <w:shd w:val="clear" w:color="auto" w:fill="00CCFF"/>
      <w:spacing w:before="100" w:after="100"/>
      <w:jc w:val="center"/>
    </w:pPr>
    <w:rPr>
      <w:b/>
      <w:bCs/>
      <w:sz w:val="12"/>
      <w:szCs w:val="12"/>
    </w:rPr>
  </w:style>
  <w:style w:type="paragraph" w:customStyle="1" w:styleId="xl37">
    <w:name w:val="xl37"/>
    <w:basedOn w:val="Normal"/>
    <w:pPr>
      <w:shd w:val="clear" w:color="auto" w:fill="00CCFF"/>
      <w:spacing w:before="100" w:after="100"/>
      <w:jc w:val="center"/>
    </w:pPr>
    <w:rPr>
      <w:b/>
      <w:bCs/>
      <w:sz w:val="12"/>
      <w:szCs w:val="12"/>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7"/>
      </w:numPr>
      <w:tabs>
        <w:tab w:val="left" w:pos="-44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6"/>
      </w:numPr>
      <w:tabs>
        <w:tab w:val="left" w:pos="-1953"/>
      </w:tabs>
      <w:spacing w:before="120" w:after="120"/>
      <w:jc w:val="both"/>
    </w:pPr>
    <w:rPr>
      <w:rFonts w:cs="Calibri"/>
      <w:b/>
      <w:bCs/>
      <w:sz w:val="24"/>
      <w:szCs w:val="28"/>
    </w:rPr>
  </w:style>
  <w:style w:type="paragraph" w:customStyle="1" w:styleId="redalianormal0">
    <w:name w:val="redalianormal"/>
    <w:basedOn w:val="Normal"/>
    <w:pPr>
      <w:spacing w:before="100" w:after="100"/>
    </w:pPr>
    <w:rPr>
      <w:rFonts w:ascii="Times New Roman" w:eastAsia="Times New Roman" w:hAnsi="Times New Roman" w:cs="Times New Roman"/>
      <w:sz w:val="24"/>
      <w:szCs w:val="24"/>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uiPriority w:val="34"/>
    <w:qFormat/>
    <w:pPr>
      <w:ind w:left="720"/>
    </w:p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Calibri Light" w:eastAsia="Calibri Light" w:hAnsi="Calibri Light" w:cs="Calibri Light"/>
      <w:i/>
      <w:color w:val="404040"/>
      <w:sz w:val="22"/>
      <w:lang w:eastAsia="en-US"/>
    </w:rPr>
  </w:style>
  <w:style w:type="character" w:customStyle="1" w:styleId="Titre8Car">
    <w:name w:val="Titre 8 Car"/>
    <w:rPr>
      <w:rFonts w:ascii="Calibri Light" w:eastAsia="Calibri Light" w:hAnsi="Calibri Light" w:cs="Calibri Light"/>
      <w:color w:val="404040"/>
      <w:lang w:eastAsia="en-US"/>
    </w:rPr>
  </w:style>
  <w:style w:type="character" w:customStyle="1" w:styleId="Titre9Car">
    <w:name w:val="Titre 9 Car"/>
    <w:rPr>
      <w:rFonts w:ascii="Calibri Light" w:eastAsia="Calibri Light" w:hAnsi="Calibri Light" w:cs="Calibri Light"/>
      <w:i/>
      <w:color w:val="404040"/>
      <w:lang w:eastAsia="en-US"/>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styleId="Lienhypertexte">
    <w:name w:val="Hyperlink"/>
    <w:uiPriority w:val="99"/>
    <w:rPr>
      <w:color w:val="003366"/>
      <w:u w:val="none"/>
    </w:rPr>
  </w:style>
  <w:style w:type="character" w:customStyle="1" w:styleId="AvecPuceCar">
    <w:name w:val="Avec Puce Car"/>
    <w:rPr>
      <w:sz w:val="24"/>
      <w:lang w:val="fr-FR" w:eastAsia="fr-FR"/>
    </w:rPr>
  </w:style>
  <w:style w:type="character" w:customStyle="1" w:styleId="CommentaireCar">
    <w:name w:val="Commentaire Car"/>
    <w:rPr>
      <w:sz w:val="20"/>
    </w:rPr>
  </w:style>
  <w:style w:type="character" w:customStyle="1" w:styleId="CorpsdetexteCar">
    <w:name w:val="Corps de texte Car"/>
    <w:rPr>
      <w:sz w:val="20"/>
    </w:rPr>
  </w:style>
  <w:style w:type="character" w:customStyle="1" w:styleId="Corpsdetexte2Car">
    <w:name w:val="Corps de texte 2 Car"/>
    <w:rPr>
      <w:sz w:val="20"/>
    </w:rPr>
  </w:style>
  <w:style w:type="character" w:customStyle="1" w:styleId="Corpsdetexte3Car">
    <w:name w:val="Corps de texte 3 Car"/>
    <w:rPr>
      <w:sz w:val="16"/>
    </w:rPr>
  </w:style>
  <w:style w:type="character" w:styleId="Lienhypertextesuivivisit">
    <w:name w:val="FollowedHyperlink"/>
    <w:rPr>
      <w:color w:val="800080"/>
      <w:u w:val="single"/>
    </w:rPr>
  </w:style>
  <w:style w:type="character" w:styleId="Marquedecommentaire">
    <w:name w:val="annotation reference"/>
    <w:rPr>
      <w:sz w:val="16"/>
    </w:rPr>
  </w:style>
  <w:style w:type="character" w:customStyle="1" w:styleId="RetraitcorpsdetexteCar">
    <w:name w:val="Retrait corps de texte Car"/>
    <w:rPr>
      <w:sz w:val="20"/>
    </w:rPr>
  </w:style>
  <w:style w:type="character" w:customStyle="1" w:styleId="StyleAvecPuceGrasCar">
    <w:name w:val="Style Avec Puce + Gras Car"/>
    <w:rPr>
      <w:b/>
      <w:sz w:val="24"/>
      <w:lang w:val="fr-FR" w:eastAsia="fr-FR"/>
    </w:rPr>
  </w:style>
  <w:style w:type="character" w:customStyle="1" w:styleId="TextedebullesCar">
    <w:name w:val="Texte de bulles Car"/>
    <w:rPr>
      <w:rFonts w:ascii="Tahoma" w:eastAsia="Tahoma" w:hAnsi="Tahoma" w:cs="Tahoma"/>
      <w:sz w:val="16"/>
    </w:rPr>
  </w:style>
  <w:style w:type="character" w:customStyle="1" w:styleId="TitreCar">
    <w:name w:val="Titre Car"/>
    <w:rPr>
      <w:rFonts w:ascii="Cambria" w:eastAsia="Cambria" w:hAnsi="Cambria" w:cs="Cambria"/>
      <w:b/>
      <w:kern w:val="3"/>
      <w:sz w:val="32"/>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185">
    <w:name w:val="EmailStyle185"/>
    <w:rPr>
      <w:rFonts w:ascii="Century Gothic" w:eastAsia="Century Gothic" w:hAnsi="Century Gothic" w:cs="Century Gothic"/>
      <w:color w:val="auto"/>
      <w:sz w:val="20"/>
    </w:rPr>
  </w:style>
  <w:style w:type="character" w:customStyle="1" w:styleId="EmailStyle186">
    <w:name w:val="EmailStyle186"/>
    <w:rPr>
      <w:rFonts w:ascii="Arial" w:eastAsia="Arial" w:hAnsi="Arial" w:cs="Arial"/>
      <w:color w:val="auto"/>
      <w:sz w:val="16"/>
    </w:rPr>
  </w:style>
  <w:style w:type="character" w:customStyle="1" w:styleId="EmailStyle187">
    <w:name w:val="EmailStyle187"/>
    <w:rPr>
      <w:rFonts w:ascii="Century Gothic" w:eastAsia="Century Gothic" w:hAnsi="Century Gothic" w:cs="Century Gothic"/>
      <w:color w:val="auto"/>
      <w:sz w:val="20"/>
    </w:rPr>
  </w:style>
  <w:style w:type="character" w:customStyle="1" w:styleId="EmailStyle188">
    <w:name w:val="EmailStyle188"/>
    <w:rPr>
      <w:rFonts w:ascii="Arial" w:eastAsia="Arial" w:hAnsi="Arial" w:cs="Arial"/>
      <w:color w:val="auto"/>
      <w:sz w:val="16"/>
    </w:rPr>
  </w:style>
  <w:style w:type="character" w:customStyle="1" w:styleId="EmailStyle189">
    <w:name w:val="EmailStyle189"/>
    <w:rPr>
      <w:rFonts w:ascii="Century Gothic" w:eastAsia="Century Gothic" w:hAnsi="Century Gothic" w:cs="Century Gothic"/>
      <w:color w:val="auto"/>
      <w:sz w:val="20"/>
    </w:rPr>
  </w:style>
  <w:style w:type="character" w:customStyle="1" w:styleId="EmailStyle190">
    <w:name w:val="EmailStyle190"/>
    <w:rPr>
      <w:rFonts w:ascii="Arial" w:eastAsia="Arial" w:hAnsi="Arial" w:cs="Arial"/>
      <w:color w:val="auto"/>
      <w:sz w:val="16"/>
    </w:rPr>
  </w:style>
  <w:style w:type="character" w:customStyle="1" w:styleId="EmailStyle191">
    <w:name w:val="EmailStyle191"/>
    <w:rPr>
      <w:rFonts w:ascii="Century Gothic" w:eastAsia="Century Gothic" w:hAnsi="Century Gothic" w:cs="Century Gothic"/>
      <w:color w:val="auto"/>
      <w:sz w:val="20"/>
    </w:rPr>
  </w:style>
  <w:style w:type="character" w:customStyle="1" w:styleId="EmailStyle192">
    <w:name w:val="EmailStyle192"/>
    <w:rPr>
      <w:rFonts w:ascii="Arial" w:eastAsia="Arial" w:hAnsi="Arial" w:cs="Arial"/>
      <w:color w:val="auto"/>
      <w:sz w:val="16"/>
    </w:rPr>
  </w:style>
  <w:style w:type="character" w:customStyle="1" w:styleId="EmailStyle193">
    <w:name w:val="EmailStyle193"/>
    <w:rPr>
      <w:rFonts w:ascii="Century Gothic" w:eastAsia="Century Gothic" w:hAnsi="Century Gothic" w:cs="Century Gothic"/>
      <w:color w:val="auto"/>
      <w:sz w:val="20"/>
    </w:rPr>
  </w:style>
  <w:style w:type="character" w:customStyle="1" w:styleId="EmailStyle194">
    <w:name w:val="EmailStyle194"/>
    <w:rPr>
      <w:rFonts w:ascii="Arial" w:eastAsia="Arial" w:hAnsi="Arial" w:cs="Arial"/>
      <w:color w:val="auto"/>
      <w:sz w:val="16"/>
    </w:rPr>
  </w:style>
  <w:style w:type="character" w:customStyle="1" w:styleId="EmailStyle195">
    <w:name w:val="EmailStyle195"/>
    <w:rPr>
      <w:rFonts w:ascii="Century Gothic" w:eastAsia="Century Gothic" w:hAnsi="Century Gothic" w:cs="Century Gothic"/>
      <w:color w:val="auto"/>
      <w:sz w:val="20"/>
    </w:rPr>
  </w:style>
  <w:style w:type="character" w:customStyle="1" w:styleId="EmailStyle196">
    <w:name w:val="EmailStyle196"/>
    <w:rPr>
      <w:rFonts w:ascii="Arial" w:eastAsia="Arial" w:hAnsi="Arial" w:cs="Arial"/>
      <w:color w:val="auto"/>
      <w:sz w:val="16"/>
    </w:rPr>
  </w:style>
  <w:style w:type="character" w:customStyle="1" w:styleId="EmailStyle197">
    <w:name w:val="EmailStyle197"/>
    <w:rPr>
      <w:rFonts w:ascii="Century Gothic" w:eastAsia="Century Gothic" w:hAnsi="Century Gothic" w:cs="Century Gothic"/>
      <w:color w:val="auto"/>
      <w:sz w:val="20"/>
    </w:rPr>
  </w:style>
  <w:style w:type="character" w:customStyle="1" w:styleId="EmailStyle198">
    <w:name w:val="EmailStyle198"/>
    <w:rPr>
      <w:rFonts w:ascii="Arial" w:eastAsia="Arial" w:hAnsi="Arial" w:cs="Arial"/>
      <w:color w:val="auto"/>
      <w:sz w:val="16"/>
    </w:rPr>
  </w:style>
  <w:style w:type="character" w:customStyle="1" w:styleId="EmailStyle199">
    <w:name w:val="EmailStyle199"/>
    <w:rPr>
      <w:rFonts w:ascii="Century Gothic" w:eastAsia="Century Gothic" w:hAnsi="Century Gothic" w:cs="Century Gothic"/>
      <w:color w:val="auto"/>
      <w:sz w:val="20"/>
    </w:rPr>
  </w:style>
  <w:style w:type="character" w:customStyle="1" w:styleId="EmailStyle200">
    <w:name w:val="EmailStyle200"/>
    <w:rPr>
      <w:rFonts w:ascii="Arial" w:eastAsia="Arial" w:hAnsi="Arial" w:cs="Arial"/>
      <w:color w:val="auto"/>
      <w:sz w:val="16"/>
    </w:rPr>
  </w:style>
  <w:style w:type="character" w:customStyle="1" w:styleId="EmailStyle201">
    <w:name w:val="EmailStyle201"/>
    <w:rPr>
      <w:rFonts w:ascii="Century Gothic" w:eastAsia="Century Gothic" w:hAnsi="Century Gothic" w:cs="Century Gothic"/>
      <w:color w:val="auto"/>
      <w:sz w:val="20"/>
    </w:rPr>
  </w:style>
  <w:style w:type="character" w:customStyle="1" w:styleId="EmailStyle202">
    <w:name w:val="EmailStyle202"/>
    <w:rPr>
      <w:rFonts w:ascii="Arial" w:eastAsia="Arial" w:hAnsi="Arial" w:cs="Arial"/>
      <w:color w:val="auto"/>
      <w:sz w:val="16"/>
    </w:rPr>
  </w:style>
  <w:style w:type="character" w:customStyle="1" w:styleId="EmailStyle203">
    <w:name w:val="EmailStyle203"/>
    <w:rPr>
      <w:rFonts w:ascii="Century Gothic" w:eastAsia="Century Gothic" w:hAnsi="Century Gothic" w:cs="Century Gothic"/>
      <w:color w:val="auto"/>
      <w:sz w:val="20"/>
    </w:rPr>
  </w:style>
  <w:style w:type="character" w:customStyle="1" w:styleId="EmailStyle204">
    <w:name w:val="EmailStyle204"/>
    <w:rPr>
      <w:rFonts w:ascii="Arial" w:eastAsia="Arial" w:hAnsi="Arial" w:cs="Arial"/>
      <w:color w:val="auto"/>
      <w:sz w:val="16"/>
    </w:rPr>
  </w:style>
  <w:style w:type="character" w:customStyle="1" w:styleId="EmailStyle205">
    <w:name w:val="EmailStyle205"/>
    <w:rPr>
      <w:rFonts w:ascii="Century Gothic" w:eastAsia="Century Gothic" w:hAnsi="Century Gothic" w:cs="Century Gothic"/>
      <w:color w:val="auto"/>
      <w:sz w:val="20"/>
    </w:rPr>
  </w:style>
  <w:style w:type="character" w:customStyle="1" w:styleId="EmailStyle206">
    <w:name w:val="EmailStyle206"/>
    <w:rPr>
      <w:rFonts w:ascii="Arial" w:eastAsia="Arial" w:hAnsi="Arial" w:cs="Arial"/>
      <w:color w:val="auto"/>
      <w:sz w:val="16"/>
    </w:rPr>
  </w:style>
  <w:style w:type="character" w:customStyle="1" w:styleId="EmailStyle207">
    <w:name w:val="EmailStyle207"/>
    <w:rPr>
      <w:rFonts w:ascii="Century Gothic" w:eastAsia="Century Gothic" w:hAnsi="Century Gothic" w:cs="Century Gothic"/>
      <w:color w:val="auto"/>
      <w:sz w:val="20"/>
    </w:rPr>
  </w:style>
  <w:style w:type="character" w:customStyle="1" w:styleId="EmailStyle208">
    <w:name w:val="EmailStyle208"/>
    <w:rPr>
      <w:rFonts w:ascii="Arial" w:eastAsia="Arial" w:hAnsi="Arial" w:cs="Arial"/>
      <w:color w:val="auto"/>
      <w:sz w:val="16"/>
    </w:rPr>
  </w:style>
  <w:style w:type="character" w:customStyle="1" w:styleId="EmailStyle209">
    <w:name w:val="EmailStyle209"/>
    <w:rPr>
      <w:rFonts w:ascii="Century Gothic" w:eastAsia="Century Gothic" w:hAnsi="Century Gothic" w:cs="Century Gothic"/>
      <w:color w:val="auto"/>
      <w:sz w:val="20"/>
    </w:rPr>
  </w:style>
  <w:style w:type="character" w:customStyle="1" w:styleId="EmailStyle210">
    <w:name w:val="EmailStyle210"/>
    <w:rPr>
      <w:rFonts w:ascii="Arial" w:eastAsia="Arial" w:hAnsi="Arial" w:cs="Arial"/>
      <w:color w:val="auto"/>
      <w:sz w:val="16"/>
    </w:rPr>
  </w:style>
  <w:style w:type="character" w:customStyle="1" w:styleId="EmailStyle211">
    <w:name w:val="EmailStyle211"/>
    <w:rPr>
      <w:rFonts w:ascii="Century Gothic" w:eastAsia="Century Gothic" w:hAnsi="Century Gothic" w:cs="Century Gothic"/>
      <w:color w:val="auto"/>
      <w:sz w:val="20"/>
    </w:rPr>
  </w:style>
  <w:style w:type="character" w:customStyle="1" w:styleId="EmailStyle212">
    <w:name w:val="EmailStyle212"/>
    <w:rPr>
      <w:rFonts w:ascii="Arial" w:eastAsia="Arial" w:hAnsi="Arial" w:cs="Arial"/>
      <w:color w:val="auto"/>
      <w:sz w:val="16"/>
    </w:rPr>
  </w:style>
  <w:style w:type="character" w:customStyle="1" w:styleId="EmailStyle213">
    <w:name w:val="EmailStyle213"/>
    <w:rPr>
      <w:rFonts w:ascii="Century Gothic" w:eastAsia="Century Gothic" w:hAnsi="Century Gothic" w:cs="Century Gothic"/>
      <w:color w:val="auto"/>
      <w:sz w:val="20"/>
    </w:rPr>
  </w:style>
  <w:style w:type="character" w:customStyle="1" w:styleId="EmailStyle214">
    <w:name w:val="EmailStyle214"/>
    <w:rPr>
      <w:rFonts w:ascii="Arial" w:eastAsia="Arial" w:hAnsi="Arial" w:cs="Arial"/>
      <w:color w:val="auto"/>
      <w:sz w:val="16"/>
    </w:rPr>
  </w:style>
  <w:style w:type="character" w:customStyle="1" w:styleId="EmailStyle215">
    <w:name w:val="EmailStyle215"/>
    <w:rPr>
      <w:rFonts w:ascii="Century Gothic" w:eastAsia="Century Gothic" w:hAnsi="Century Gothic" w:cs="Century Gothic"/>
      <w:color w:val="auto"/>
      <w:sz w:val="20"/>
    </w:rPr>
  </w:style>
  <w:style w:type="character" w:customStyle="1" w:styleId="EmailStyle216">
    <w:name w:val="EmailStyle216"/>
    <w:rPr>
      <w:rFonts w:ascii="Arial" w:eastAsia="Arial" w:hAnsi="Arial" w:cs="Arial"/>
      <w:color w:val="auto"/>
      <w:sz w:val="16"/>
    </w:rPr>
  </w:style>
  <w:style w:type="character" w:customStyle="1" w:styleId="EmailStyle217">
    <w:name w:val="EmailStyle217"/>
    <w:rPr>
      <w:rFonts w:ascii="Century Gothic" w:eastAsia="Century Gothic" w:hAnsi="Century Gothic" w:cs="Century Gothic"/>
      <w:color w:val="auto"/>
      <w:sz w:val="20"/>
    </w:rPr>
  </w:style>
  <w:style w:type="character" w:customStyle="1" w:styleId="EmailStyle218">
    <w:name w:val="EmailStyle218"/>
    <w:rPr>
      <w:rFonts w:ascii="Arial" w:eastAsia="Arial" w:hAnsi="Arial" w:cs="Arial"/>
      <w:color w:val="auto"/>
      <w:sz w:val="16"/>
    </w:rPr>
  </w:style>
  <w:style w:type="character" w:customStyle="1" w:styleId="EmailStyle2191">
    <w:name w:val="EmailStyle2191"/>
    <w:rPr>
      <w:rFonts w:ascii="Century Gothic" w:eastAsia="Century Gothic" w:hAnsi="Century Gothic" w:cs="Century Gothic"/>
      <w:color w:val="auto"/>
      <w:sz w:val="20"/>
    </w:rPr>
  </w:style>
  <w:style w:type="character" w:customStyle="1" w:styleId="EmailStyle2201">
    <w:name w:val="EmailStyle2201"/>
    <w:rPr>
      <w:rFonts w:ascii="Arial" w:eastAsia="Arial" w:hAnsi="Arial" w:cs="Arial"/>
      <w:color w:val="auto"/>
      <w:sz w:val="16"/>
    </w:rPr>
  </w:style>
  <w:style w:type="character" w:customStyle="1" w:styleId="EmailStyle2211">
    <w:name w:val="EmailStyle2211"/>
    <w:rPr>
      <w:rFonts w:ascii="Century Gothic" w:eastAsia="Century Gothic" w:hAnsi="Century Gothic" w:cs="Century Gothic"/>
      <w:color w:val="auto"/>
      <w:sz w:val="20"/>
    </w:rPr>
  </w:style>
  <w:style w:type="character" w:customStyle="1" w:styleId="EmailStyle2221">
    <w:name w:val="EmailStyle2221"/>
    <w:rPr>
      <w:rFonts w:ascii="Arial" w:eastAsia="Arial" w:hAnsi="Arial" w:cs="Arial"/>
      <w:color w:val="auto"/>
      <w:sz w:val="16"/>
    </w:rPr>
  </w:style>
  <w:style w:type="character" w:customStyle="1" w:styleId="EmailStyle2231">
    <w:name w:val="EmailStyle2231"/>
    <w:rPr>
      <w:rFonts w:ascii="Century Gothic" w:eastAsia="Century Gothic" w:hAnsi="Century Gothic" w:cs="Century Gothic"/>
      <w:color w:val="auto"/>
      <w:sz w:val="20"/>
    </w:rPr>
  </w:style>
  <w:style w:type="character" w:customStyle="1" w:styleId="EmailStyle2241">
    <w:name w:val="EmailStyle2241"/>
    <w:rPr>
      <w:rFonts w:ascii="Arial" w:eastAsia="Arial" w:hAnsi="Arial" w:cs="Arial"/>
      <w:color w:val="auto"/>
      <w:sz w:val="16"/>
    </w:rPr>
  </w:style>
  <w:style w:type="character" w:customStyle="1" w:styleId="EmailStyle2251">
    <w:name w:val="EmailStyle2251"/>
    <w:rPr>
      <w:rFonts w:ascii="Century Gothic" w:eastAsia="Century Gothic" w:hAnsi="Century Gothic" w:cs="Century Gothic"/>
      <w:color w:val="auto"/>
      <w:sz w:val="20"/>
    </w:rPr>
  </w:style>
  <w:style w:type="character" w:customStyle="1" w:styleId="EmailStyle2261">
    <w:name w:val="EmailStyle2261"/>
    <w:rPr>
      <w:rFonts w:ascii="Arial" w:eastAsia="Arial" w:hAnsi="Arial" w:cs="Arial"/>
      <w:color w:val="auto"/>
      <w:sz w:val="16"/>
    </w:rPr>
  </w:style>
  <w:style w:type="character" w:customStyle="1" w:styleId="EmailStyle2271">
    <w:name w:val="EmailStyle2271"/>
    <w:rPr>
      <w:rFonts w:ascii="Century Gothic" w:eastAsia="Century Gothic" w:hAnsi="Century Gothic" w:cs="Century Gothic"/>
      <w:color w:val="auto"/>
      <w:sz w:val="20"/>
    </w:rPr>
  </w:style>
  <w:style w:type="character" w:customStyle="1" w:styleId="EmailStyle2281">
    <w:name w:val="EmailStyle2281"/>
    <w:rPr>
      <w:rFonts w:ascii="Arial" w:eastAsia="Arial" w:hAnsi="Arial" w:cs="Arial"/>
      <w:color w:val="auto"/>
      <w:sz w:val="16"/>
    </w:rPr>
  </w:style>
  <w:style w:type="character" w:customStyle="1" w:styleId="EmailStyle2291">
    <w:name w:val="EmailStyle2291"/>
    <w:rPr>
      <w:rFonts w:ascii="Century Gothic" w:eastAsia="Century Gothic" w:hAnsi="Century Gothic" w:cs="Century Gothic"/>
      <w:color w:val="auto"/>
      <w:sz w:val="20"/>
    </w:rPr>
  </w:style>
  <w:style w:type="character" w:customStyle="1" w:styleId="EmailStyle2301">
    <w:name w:val="EmailStyle2301"/>
    <w:rPr>
      <w:rFonts w:ascii="Arial" w:eastAsia="Arial" w:hAnsi="Arial" w:cs="Arial"/>
      <w:color w:val="auto"/>
      <w:sz w:val="16"/>
    </w:rPr>
  </w:style>
  <w:style w:type="character" w:customStyle="1" w:styleId="EmailStyle2311">
    <w:name w:val="EmailStyle2311"/>
    <w:rPr>
      <w:rFonts w:ascii="Century Gothic" w:eastAsia="Century Gothic" w:hAnsi="Century Gothic" w:cs="Century Gothic"/>
      <w:color w:val="auto"/>
      <w:sz w:val="20"/>
    </w:rPr>
  </w:style>
  <w:style w:type="character" w:customStyle="1" w:styleId="EmailStyle2321">
    <w:name w:val="EmailStyle2321"/>
    <w:rPr>
      <w:rFonts w:ascii="Arial" w:eastAsia="Arial" w:hAnsi="Arial" w:cs="Arial"/>
      <w:color w:val="auto"/>
      <w:sz w:val="16"/>
    </w:rPr>
  </w:style>
  <w:style w:type="character" w:customStyle="1" w:styleId="EmailStyle2331">
    <w:name w:val="EmailStyle2331"/>
    <w:rPr>
      <w:rFonts w:ascii="Century Gothic" w:eastAsia="Century Gothic" w:hAnsi="Century Gothic" w:cs="Century Gothic"/>
      <w:color w:val="auto"/>
      <w:sz w:val="20"/>
    </w:rPr>
  </w:style>
  <w:style w:type="character" w:customStyle="1" w:styleId="EmailStyle2341">
    <w:name w:val="EmailStyle2341"/>
    <w:rPr>
      <w:rFonts w:ascii="Arial" w:eastAsia="Arial" w:hAnsi="Arial" w:cs="Arial"/>
      <w:color w:val="auto"/>
      <w:sz w:val="16"/>
    </w:rPr>
  </w:style>
  <w:style w:type="character" w:customStyle="1" w:styleId="EmailStyle2351">
    <w:name w:val="EmailStyle2351"/>
    <w:rPr>
      <w:rFonts w:ascii="Century Gothic" w:eastAsia="Century Gothic" w:hAnsi="Century Gothic" w:cs="Century Gothic"/>
      <w:color w:val="auto"/>
      <w:sz w:val="20"/>
    </w:rPr>
  </w:style>
  <w:style w:type="character" w:customStyle="1" w:styleId="EmailStyle2361">
    <w:name w:val="EmailStyle2361"/>
    <w:rPr>
      <w:rFonts w:ascii="Arial" w:eastAsia="Arial" w:hAnsi="Arial" w:cs="Arial"/>
      <w:color w:val="auto"/>
      <w:sz w:val="16"/>
    </w:rPr>
  </w:style>
  <w:style w:type="character" w:customStyle="1" w:styleId="EmailStyle2371">
    <w:name w:val="EmailStyle2371"/>
    <w:rPr>
      <w:rFonts w:ascii="Century Gothic" w:eastAsia="Century Gothic" w:hAnsi="Century Gothic" w:cs="Century Gothic"/>
      <w:color w:val="auto"/>
      <w:sz w:val="20"/>
    </w:rPr>
  </w:style>
  <w:style w:type="character" w:customStyle="1" w:styleId="EmailStyle2381">
    <w:name w:val="EmailStyle2381"/>
    <w:rPr>
      <w:rFonts w:ascii="Arial" w:eastAsia="Arial" w:hAnsi="Arial" w:cs="Arial"/>
      <w:color w:val="auto"/>
      <w:sz w:val="16"/>
    </w:rPr>
  </w:style>
  <w:style w:type="character" w:customStyle="1" w:styleId="EmailStyle2391">
    <w:name w:val="EmailStyle2391"/>
    <w:rPr>
      <w:rFonts w:ascii="Century Gothic" w:eastAsia="Century Gothic" w:hAnsi="Century Gothic" w:cs="Century Gothic"/>
      <w:color w:val="auto"/>
      <w:sz w:val="20"/>
    </w:rPr>
  </w:style>
  <w:style w:type="character" w:customStyle="1" w:styleId="EmailStyle2401">
    <w:name w:val="EmailStyle2401"/>
    <w:rPr>
      <w:rFonts w:ascii="Arial" w:eastAsia="Arial" w:hAnsi="Arial" w:cs="Arial"/>
      <w:color w:val="auto"/>
      <w:sz w:val="16"/>
    </w:rPr>
  </w:style>
  <w:style w:type="character" w:customStyle="1" w:styleId="EmailStyle2411">
    <w:name w:val="EmailStyle2411"/>
    <w:rPr>
      <w:rFonts w:ascii="Century Gothic" w:eastAsia="Century Gothic" w:hAnsi="Century Gothic" w:cs="Century Gothic"/>
      <w:color w:val="auto"/>
      <w:sz w:val="20"/>
    </w:rPr>
  </w:style>
  <w:style w:type="character" w:customStyle="1" w:styleId="EmailStyle2421">
    <w:name w:val="EmailStyle2421"/>
    <w:rPr>
      <w:rFonts w:ascii="Arial" w:eastAsia="Arial" w:hAnsi="Arial" w:cs="Arial"/>
      <w:color w:val="auto"/>
      <w:sz w:val="16"/>
    </w:rPr>
  </w:style>
  <w:style w:type="character" w:customStyle="1" w:styleId="EmailStyle2431">
    <w:name w:val="EmailStyle2431"/>
    <w:rPr>
      <w:rFonts w:ascii="Century Gothic" w:eastAsia="Century Gothic" w:hAnsi="Century Gothic" w:cs="Century Gothic"/>
      <w:color w:val="auto"/>
      <w:sz w:val="20"/>
    </w:rPr>
  </w:style>
  <w:style w:type="character" w:customStyle="1" w:styleId="EmailStyle2441">
    <w:name w:val="EmailStyle2441"/>
    <w:rPr>
      <w:rFonts w:ascii="Arial" w:eastAsia="Arial" w:hAnsi="Arial" w:cs="Arial"/>
      <w:color w:val="auto"/>
      <w:sz w:val="16"/>
    </w:rPr>
  </w:style>
  <w:style w:type="character" w:customStyle="1" w:styleId="EmailStyle2451">
    <w:name w:val="EmailStyle2451"/>
    <w:rPr>
      <w:rFonts w:ascii="Century Gothic" w:eastAsia="Century Gothic" w:hAnsi="Century Gothic" w:cs="Century Gothic"/>
      <w:color w:val="auto"/>
      <w:sz w:val="20"/>
    </w:rPr>
  </w:style>
  <w:style w:type="character" w:customStyle="1" w:styleId="EmailStyle2461">
    <w:name w:val="EmailStyle2461"/>
    <w:rPr>
      <w:rFonts w:ascii="Arial" w:eastAsia="Arial" w:hAnsi="Arial" w:cs="Arial"/>
      <w:color w:val="auto"/>
      <w:sz w:val="16"/>
    </w:rPr>
  </w:style>
  <w:style w:type="character" w:customStyle="1" w:styleId="EmailStyle2471">
    <w:name w:val="EmailStyle2471"/>
    <w:rPr>
      <w:rFonts w:ascii="Century Gothic" w:eastAsia="Century Gothic" w:hAnsi="Century Gothic" w:cs="Century Gothic"/>
      <w:color w:val="auto"/>
      <w:sz w:val="20"/>
    </w:rPr>
  </w:style>
  <w:style w:type="character" w:customStyle="1" w:styleId="EmailStyle2481">
    <w:name w:val="EmailStyle2481"/>
    <w:rPr>
      <w:rFonts w:ascii="Arial" w:eastAsia="Arial" w:hAnsi="Arial" w:cs="Arial"/>
      <w:color w:val="auto"/>
      <w:sz w:val="16"/>
    </w:rPr>
  </w:style>
  <w:style w:type="character" w:customStyle="1" w:styleId="EmailStyle2491">
    <w:name w:val="EmailStyle2491"/>
    <w:rPr>
      <w:rFonts w:ascii="Century Gothic" w:eastAsia="Century Gothic" w:hAnsi="Century Gothic" w:cs="Century Gothic"/>
      <w:color w:val="auto"/>
      <w:sz w:val="20"/>
    </w:rPr>
  </w:style>
  <w:style w:type="character" w:customStyle="1" w:styleId="EmailStyle2501">
    <w:name w:val="EmailStyle2501"/>
    <w:rPr>
      <w:rFonts w:ascii="Arial" w:eastAsia="Arial" w:hAnsi="Arial" w:cs="Arial"/>
      <w:color w:val="auto"/>
      <w:sz w:val="16"/>
    </w:rPr>
  </w:style>
  <w:style w:type="character" w:customStyle="1" w:styleId="EmailStyle2511">
    <w:name w:val="EmailStyle2511"/>
    <w:rPr>
      <w:rFonts w:ascii="Century Gothic" w:eastAsia="Century Gothic" w:hAnsi="Century Gothic" w:cs="Century Gothic"/>
      <w:color w:val="auto"/>
      <w:sz w:val="20"/>
    </w:rPr>
  </w:style>
  <w:style w:type="character" w:customStyle="1" w:styleId="EmailStyle2521">
    <w:name w:val="EmailStyle2521"/>
    <w:rPr>
      <w:rFonts w:ascii="Arial" w:eastAsia="Arial" w:hAnsi="Arial" w:cs="Arial"/>
      <w:color w:val="auto"/>
      <w:sz w:val="16"/>
    </w:rPr>
  </w:style>
  <w:style w:type="character" w:customStyle="1" w:styleId="EmailStyle2531">
    <w:name w:val="EmailStyle2531"/>
    <w:rPr>
      <w:rFonts w:ascii="Century Gothic" w:eastAsia="Century Gothic" w:hAnsi="Century Gothic" w:cs="Century Gothic"/>
      <w:color w:val="auto"/>
      <w:sz w:val="20"/>
    </w:rPr>
  </w:style>
  <w:style w:type="character" w:customStyle="1" w:styleId="EmailStyle2541">
    <w:name w:val="EmailStyle2541"/>
    <w:rPr>
      <w:rFonts w:ascii="Arial" w:eastAsia="Arial" w:hAnsi="Arial" w:cs="Arial"/>
      <w:color w:val="auto"/>
      <w:sz w:val="16"/>
    </w:rPr>
  </w:style>
  <w:style w:type="character" w:customStyle="1" w:styleId="EmailStyle2551">
    <w:name w:val="EmailStyle2551"/>
    <w:rPr>
      <w:rFonts w:ascii="Century Gothic" w:eastAsia="Century Gothic" w:hAnsi="Century Gothic" w:cs="Century Gothic"/>
      <w:color w:val="auto"/>
      <w:sz w:val="20"/>
    </w:rPr>
  </w:style>
  <w:style w:type="character" w:customStyle="1" w:styleId="EmailStyle2561">
    <w:name w:val="EmailStyle2561"/>
    <w:rPr>
      <w:rFonts w:ascii="Arial" w:eastAsia="Arial" w:hAnsi="Arial" w:cs="Arial"/>
      <w:color w:val="auto"/>
      <w:sz w:val="16"/>
    </w:rPr>
  </w:style>
  <w:style w:type="character" w:customStyle="1" w:styleId="EmailStyle2571">
    <w:name w:val="EmailStyle2571"/>
    <w:rPr>
      <w:rFonts w:ascii="Century Gothic" w:eastAsia="Century Gothic" w:hAnsi="Century Gothic" w:cs="Century Gothic"/>
      <w:color w:val="auto"/>
      <w:sz w:val="20"/>
    </w:rPr>
  </w:style>
  <w:style w:type="character" w:customStyle="1" w:styleId="EmailStyle2581">
    <w:name w:val="EmailStyle2581"/>
    <w:rPr>
      <w:rFonts w:ascii="Arial" w:eastAsia="Arial" w:hAnsi="Arial" w:cs="Arial"/>
      <w:color w:val="auto"/>
      <w:sz w:val="16"/>
    </w:rPr>
  </w:style>
  <w:style w:type="character" w:customStyle="1" w:styleId="EmailStyle2591">
    <w:name w:val="EmailStyle2591"/>
    <w:rPr>
      <w:rFonts w:ascii="Century Gothic" w:eastAsia="Century Gothic" w:hAnsi="Century Gothic" w:cs="Century Gothic"/>
      <w:color w:val="auto"/>
      <w:sz w:val="20"/>
    </w:rPr>
  </w:style>
  <w:style w:type="character" w:customStyle="1" w:styleId="EmailStyle2601">
    <w:name w:val="EmailStyle2601"/>
    <w:rPr>
      <w:rFonts w:ascii="Arial" w:eastAsia="Arial" w:hAnsi="Arial" w:cs="Arial"/>
      <w:color w:val="auto"/>
      <w:sz w:val="16"/>
    </w:rPr>
  </w:style>
  <w:style w:type="character" w:customStyle="1" w:styleId="EmailStyle2611">
    <w:name w:val="EmailStyle2611"/>
    <w:rPr>
      <w:rFonts w:ascii="Century Gothic" w:eastAsia="Century Gothic" w:hAnsi="Century Gothic" w:cs="Century Gothic"/>
      <w:color w:val="auto"/>
      <w:sz w:val="20"/>
    </w:rPr>
  </w:style>
  <w:style w:type="character" w:customStyle="1" w:styleId="EmailStyle2621">
    <w:name w:val="EmailStyle2621"/>
    <w:rPr>
      <w:rFonts w:ascii="Arial" w:eastAsia="Arial" w:hAnsi="Arial" w:cs="Arial"/>
      <w:color w:val="auto"/>
      <w:sz w:val="16"/>
    </w:rPr>
  </w:style>
  <w:style w:type="character" w:customStyle="1" w:styleId="EmailStyle263">
    <w:name w:val="EmailStyle263"/>
    <w:rPr>
      <w:rFonts w:ascii="Century Gothic" w:eastAsia="Century Gothic" w:hAnsi="Century Gothic" w:cs="Century Gothic"/>
      <w:color w:val="auto"/>
      <w:sz w:val="20"/>
    </w:rPr>
  </w:style>
  <w:style w:type="character" w:customStyle="1" w:styleId="EmailStyle264">
    <w:name w:val="EmailStyle264"/>
    <w:rPr>
      <w:rFonts w:ascii="Arial" w:eastAsia="Arial" w:hAnsi="Arial" w:cs="Arial"/>
      <w:color w:val="auto"/>
      <w:sz w:val="16"/>
    </w:rPr>
  </w:style>
  <w:style w:type="character" w:customStyle="1" w:styleId="EmailStyle265">
    <w:name w:val="EmailStyle265"/>
    <w:rPr>
      <w:rFonts w:ascii="Century Gothic" w:eastAsia="Century Gothic" w:hAnsi="Century Gothic" w:cs="Century Gothic"/>
      <w:color w:val="auto"/>
      <w:sz w:val="20"/>
    </w:rPr>
  </w:style>
  <w:style w:type="character" w:customStyle="1" w:styleId="EmailStyle266">
    <w:name w:val="EmailStyle266"/>
    <w:rPr>
      <w:rFonts w:ascii="Arial" w:eastAsia="Arial" w:hAnsi="Arial" w:cs="Arial"/>
      <w:color w:val="auto"/>
      <w:sz w:val="16"/>
    </w:rPr>
  </w:style>
  <w:style w:type="character" w:customStyle="1" w:styleId="EmailStyle267">
    <w:name w:val="EmailStyle267"/>
    <w:rPr>
      <w:rFonts w:ascii="Century Gothic" w:eastAsia="Century Gothic" w:hAnsi="Century Gothic" w:cs="Century Gothic"/>
      <w:color w:val="auto"/>
      <w:sz w:val="20"/>
    </w:rPr>
  </w:style>
  <w:style w:type="character" w:customStyle="1" w:styleId="EmailStyle268">
    <w:name w:val="EmailStyle268"/>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1">
    <w:name w:val="EmailStyle3071"/>
    <w:rPr>
      <w:rFonts w:ascii="Century Gothic" w:eastAsia="Century Gothic" w:hAnsi="Century Gothic" w:cs="Century Gothic"/>
      <w:color w:val="auto"/>
      <w:sz w:val="20"/>
    </w:rPr>
  </w:style>
  <w:style w:type="character" w:customStyle="1" w:styleId="EmailStyle3081">
    <w:name w:val="EmailStyle3081"/>
    <w:rPr>
      <w:rFonts w:ascii="Arial" w:eastAsia="Arial" w:hAnsi="Arial" w:cs="Arial"/>
      <w:color w:val="auto"/>
      <w:sz w:val="16"/>
    </w:rPr>
  </w:style>
  <w:style w:type="character" w:customStyle="1" w:styleId="EmailStyle3091">
    <w:name w:val="EmailStyle3091"/>
    <w:rPr>
      <w:rFonts w:ascii="Century Gothic" w:eastAsia="Century Gothic" w:hAnsi="Century Gothic" w:cs="Century Gothic"/>
      <w:color w:val="auto"/>
      <w:sz w:val="20"/>
    </w:rPr>
  </w:style>
  <w:style w:type="character" w:customStyle="1" w:styleId="EmailStyle3101">
    <w:name w:val="EmailStyle3101"/>
    <w:rPr>
      <w:rFonts w:ascii="Arial" w:eastAsia="Arial" w:hAnsi="Arial" w:cs="Arial"/>
      <w:color w:val="auto"/>
      <w:sz w:val="16"/>
    </w:rPr>
  </w:style>
  <w:style w:type="character" w:customStyle="1" w:styleId="EmailStyle3111">
    <w:name w:val="EmailStyle3111"/>
    <w:rPr>
      <w:rFonts w:ascii="Century Gothic" w:eastAsia="Century Gothic" w:hAnsi="Century Gothic" w:cs="Century Gothic"/>
      <w:color w:val="auto"/>
      <w:sz w:val="20"/>
    </w:rPr>
  </w:style>
  <w:style w:type="character" w:customStyle="1" w:styleId="EmailStyle3121">
    <w:name w:val="EmailStyle3121"/>
    <w:rPr>
      <w:rFonts w:ascii="Arial" w:eastAsia="Arial" w:hAnsi="Arial" w:cs="Arial"/>
      <w:color w:val="auto"/>
      <w:sz w:val="16"/>
    </w:rPr>
  </w:style>
  <w:style w:type="character" w:customStyle="1" w:styleId="EmailStyle3131">
    <w:name w:val="EmailStyle3131"/>
    <w:rPr>
      <w:rFonts w:ascii="Century Gothic" w:eastAsia="Century Gothic" w:hAnsi="Century Gothic" w:cs="Century Gothic"/>
      <w:color w:val="auto"/>
      <w:sz w:val="20"/>
    </w:rPr>
  </w:style>
  <w:style w:type="character" w:customStyle="1" w:styleId="EmailStyle3141">
    <w:name w:val="EmailStyle3141"/>
    <w:rPr>
      <w:rFonts w:ascii="Arial" w:eastAsia="Arial" w:hAnsi="Arial" w:cs="Arial"/>
      <w:color w:val="auto"/>
      <w:sz w:val="16"/>
    </w:rPr>
  </w:style>
  <w:style w:type="character" w:customStyle="1" w:styleId="EmailStyle3151">
    <w:name w:val="EmailStyle3151"/>
    <w:rPr>
      <w:rFonts w:ascii="Century Gothic" w:eastAsia="Century Gothic" w:hAnsi="Century Gothic" w:cs="Century Gothic"/>
      <w:color w:val="auto"/>
      <w:sz w:val="20"/>
    </w:rPr>
  </w:style>
  <w:style w:type="character" w:customStyle="1" w:styleId="EmailStyle3161">
    <w:name w:val="EmailStyle3161"/>
    <w:rPr>
      <w:rFonts w:ascii="Arial" w:eastAsia="Arial" w:hAnsi="Arial" w:cs="Arial"/>
      <w:color w:val="auto"/>
      <w:sz w:val="16"/>
    </w:rPr>
  </w:style>
  <w:style w:type="character" w:customStyle="1" w:styleId="EmailStyle3171">
    <w:name w:val="EmailStyle3171"/>
    <w:rPr>
      <w:rFonts w:ascii="Century Gothic" w:eastAsia="Century Gothic" w:hAnsi="Century Gothic" w:cs="Century Gothic"/>
      <w:color w:val="auto"/>
      <w:sz w:val="20"/>
    </w:rPr>
  </w:style>
  <w:style w:type="character" w:customStyle="1" w:styleId="EmailStyle3181">
    <w:name w:val="EmailStyle3181"/>
    <w:rPr>
      <w:rFonts w:ascii="Arial" w:eastAsia="Arial" w:hAnsi="Arial" w:cs="Arial"/>
      <w:color w:val="auto"/>
      <w:sz w:val="16"/>
    </w:rPr>
  </w:style>
  <w:style w:type="character" w:customStyle="1" w:styleId="EmailStyle3191">
    <w:name w:val="EmailStyle3191"/>
    <w:rPr>
      <w:rFonts w:ascii="Century Gothic" w:eastAsia="Century Gothic" w:hAnsi="Century Gothic" w:cs="Century Gothic"/>
      <w:color w:val="auto"/>
      <w:sz w:val="20"/>
    </w:rPr>
  </w:style>
  <w:style w:type="character" w:customStyle="1" w:styleId="EmailStyle3201">
    <w:name w:val="EmailStyle3201"/>
    <w:rPr>
      <w:rFonts w:ascii="Arial" w:eastAsia="Arial" w:hAnsi="Arial" w:cs="Arial"/>
      <w:color w:val="auto"/>
      <w:sz w:val="16"/>
    </w:rPr>
  </w:style>
  <w:style w:type="character" w:customStyle="1" w:styleId="EmailStyle3211">
    <w:name w:val="EmailStyle3211"/>
    <w:rPr>
      <w:rFonts w:ascii="Century Gothic" w:eastAsia="Century Gothic" w:hAnsi="Century Gothic" w:cs="Century Gothic"/>
      <w:color w:val="auto"/>
      <w:sz w:val="20"/>
    </w:rPr>
  </w:style>
  <w:style w:type="character" w:customStyle="1" w:styleId="EmailStyle3221">
    <w:name w:val="EmailStyle3221"/>
    <w:rPr>
      <w:rFonts w:ascii="Arial" w:eastAsia="Arial" w:hAnsi="Arial" w:cs="Arial"/>
      <w:color w:val="auto"/>
      <w:sz w:val="16"/>
    </w:rPr>
  </w:style>
  <w:style w:type="character" w:customStyle="1" w:styleId="EmailStyle3231">
    <w:name w:val="EmailStyle3231"/>
    <w:rPr>
      <w:rFonts w:ascii="Century Gothic" w:eastAsia="Century Gothic" w:hAnsi="Century Gothic" w:cs="Century Gothic"/>
      <w:color w:val="auto"/>
      <w:sz w:val="20"/>
    </w:rPr>
  </w:style>
  <w:style w:type="character" w:customStyle="1" w:styleId="EmailStyle3241">
    <w:name w:val="EmailStyle3241"/>
    <w:rPr>
      <w:rFonts w:ascii="Arial" w:eastAsia="Arial" w:hAnsi="Arial" w:cs="Arial"/>
      <w:color w:val="auto"/>
      <w:sz w:val="16"/>
    </w:rPr>
  </w:style>
  <w:style w:type="character" w:customStyle="1" w:styleId="EmailStyle3251">
    <w:name w:val="EmailStyle3251"/>
    <w:rPr>
      <w:rFonts w:ascii="Century Gothic" w:eastAsia="Century Gothic" w:hAnsi="Century Gothic" w:cs="Century Gothic"/>
      <w:color w:val="auto"/>
      <w:sz w:val="20"/>
    </w:rPr>
  </w:style>
  <w:style w:type="character" w:customStyle="1" w:styleId="EmailStyle3261">
    <w:name w:val="EmailStyle3261"/>
    <w:rPr>
      <w:rFonts w:ascii="Arial" w:eastAsia="Arial" w:hAnsi="Arial" w:cs="Arial"/>
      <w:color w:val="auto"/>
      <w:sz w:val="16"/>
    </w:rPr>
  </w:style>
  <w:style w:type="character" w:customStyle="1" w:styleId="EmailStyle3271">
    <w:name w:val="EmailStyle3271"/>
    <w:rPr>
      <w:rFonts w:ascii="Century Gothic" w:eastAsia="Century Gothic" w:hAnsi="Century Gothic" w:cs="Century Gothic"/>
      <w:color w:val="auto"/>
      <w:sz w:val="20"/>
    </w:rPr>
  </w:style>
  <w:style w:type="character" w:customStyle="1" w:styleId="EmailStyle3281">
    <w:name w:val="EmailStyle3281"/>
    <w:rPr>
      <w:rFonts w:ascii="Arial" w:eastAsia="Arial" w:hAnsi="Arial" w:cs="Arial"/>
      <w:color w:val="auto"/>
      <w:sz w:val="16"/>
    </w:rPr>
  </w:style>
  <w:style w:type="character" w:customStyle="1" w:styleId="EmailStyle3291">
    <w:name w:val="EmailStyle3291"/>
    <w:rPr>
      <w:rFonts w:ascii="Century Gothic" w:eastAsia="Century Gothic" w:hAnsi="Century Gothic" w:cs="Century Gothic"/>
      <w:color w:val="auto"/>
      <w:sz w:val="20"/>
    </w:rPr>
  </w:style>
  <w:style w:type="character" w:customStyle="1" w:styleId="EmailStyle3301">
    <w:name w:val="EmailStyle3301"/>
    <w:rPr>
      <w:rFonts w:ascii="Arial" w:eastAsia="Arial" w:hAnsi="Arial" w:cs="Arial"/>
      <w:color w:val="auto"/>
      <w:sz w:val="16"/>
    </w:rPr>
  </w:style>
  <w:style w:type="character" w:customStyle="1" w:styleId="EmailStyle3311">
    <w:name w:val="EmailStyle3311"/>
    <w:rPr>
      <w:rFonts w:ascii="Century Gothic" w:eastAsia="Century Gothic" w:hAnsi="Century Gothic" w:cs="Century Gothic"/>
      <w:color w:val="auto"/>
      <w:sz w:val="20"/>
    </w:rPr>
  </w:style>
  <w:style w:type="character" w:customStyle="1" w:styleId="EmailStyle3321">
    <w:name w:val="EmailStyle3321"/>
    <w:rPr>
      <w:rFonts w:ascii="Arial" w:eastAsia="Arial" w:hAnsi="Arial" w:cs="Arial"/>
      <w:color w:val="auto"/>
      <w:sz w:val="16"/>
    </w:rPr>
  </w:style>
  <w:style w:type="character" w:customStyle="1" w:styleId="EmailStyle3331">
    <w:name w:val="EmailStyle3331"/>
    <w:rPr>
      <w:rFonts w:ascii="Century Gothic" w:eastAsia="Century Gothic" w:hAnsi="Century Gothic" w:cs="Century Gothic"/>
      <w:color w:val="auto"/>
      <w:sz w:val="20"/>
    </w:rPr>
  </w:style>
  <w:style w:type="character" w:customStyle="1" w:styleId="EmailStyle3341">
    <w:name w:val="EmailStyle3341"/>
    <w:rPr>
      <w:rFonts w:ascii="Arial" w:eastAsia="Arial" w:hAnsi="Arial" w:cs="Arial"/>
      <w:color w:val="auto"/>
      <w:sz w:val="16"/>
    </w:rPr>
  </w:style>
  <w:style w:type="character" w:customStyle="1" w:styleId="EmailStyle3351">
    <w:name w:val="EmailStyle3351"/>
    <w:rPr>
      <w:rFonts w:ascii="Century Gothic" w:eastAsia="Century Gothic" w:hAnsi="Century Gothic" w:cs="Century Gothic"/>
      <w:color w:val="auto"/>
      <w:sz w:val="20"/>
    </w:rPr>
  </w:style>
  <w:style w:type="character" w:customStyle="1" w:styleId="EmailStyle3361">
    <w:name w:val="EmailStyle3361"/>
    <w:rPr>
      <w:rFonts w:ascii="Arial" w:eastAsia="Arial" w:hAnsi="Arial" w:cs="Arial"/>
      <w:color w:val="auto"/>
      <w:sz w:val="16"/>
    </w:rPr>
  </w:style>
  <w:style w:type="character" w:customStyle="1" w:styleId="EmailStyle3371">
    <w:name w:val="EmailStyle3371"/>
    <w:rPr>
      <w:rFonts w:ascii="Century Gothic" w:eastAsia="Century Gothic" w:hAnsi="Century Gothic" w:cs="Century Gothic"/>
      <w:color w:val="auto"/>
      <w:sz w:val="20"/>
    </w:rPr>
  </w:style>
  <w:style w:type="character" w:customStyle="1" w:styleId="EmailStyle3381">
    <w:name w:val="EmailStyle3381"/>
    <w:rPr>
      <w:rFonts w:ascii="Arial" w:eastAsia="Arial" w:hAnsi="Arial" w:cs="Arial"/>
      <w:color w:val="auto"/>
      <w:sz w:val="16"/>
    </w:rPr>
  </w:style>
  <w:style w:type="character" w:customStyle="1" w:styleId="EmailStyle3391">
    <w:name w:val="EmailStyle3391"/>
    <w:rPr>
      <w:rFonts w:ascii="Century Gothic" w:eastAsia="Century Gothic" w:hAnsi="Century Gothic" w:cs="Century Gothic"/>
      <w:color w:val="auto"/>
      <w:sz w:val="20"/>
    </w:rPr>
  </w:style>
  <w:style w:type="character" w:customStyle="1" w:styleId="EmailStyle3401">
    <w:name w:val="EmailStyle3401"/>
    <w:rPr>
      <w:rFonts w:ascii="Arial" w:eastAsia="Arial" w:hAnsi="Arial" w:cs="Arial"/>
      <w:color w:val="auto"/>
      <w:sz w:val="16"/>
    </w:rPr>
  </w:style>
  <w:style w:type="character" w:customStyle="1" w:styleId="EmailStyle3411">
    <w:name w:val="EmailStyle3411"/>
    <w:rPr>
      <w:rFonts w:ascii="Century Gothic" w:eastAsia="Century Gothic" w:hAnsi="Century Gothic" w:cs="Century Gothic"/>
      <w:color w:val="auto"/>
      <w:sz w:val="20"/>
    </w:rPr>
  </w:style>
  <w:style w:type="character" w:customStyle="1" w:styleId="EmailStyle3421">
    <w:name w:val="EmailStyle3421"/>
    <w:rPr>
      <w:rFonts w:ascii="Arial" w:eastAsia="Arial" w:hAnsi="Arial" w:cs="Arial"/>
      <w:color w:val="auto"/>
      <w:sz w:val="16"/>
    </w:rPr>
  </w:style>
  <w:style w:type="character" w:customStyle="1" w:styleId="EmailStyle3431">
    <w:name w:val="EmailStyle3431"/>
    <w:rPr>
      <w:rFonts w:ascii="Century Gothic" w:eastAsia="Century Gothic" w:hAnsi="Century Gothic" w:cs="Century Gothic"/>
      <w:color w:val="auto"/>
      <w:sz w:val="20"/>
    </w:rPr>
  </w:style>
  <w:style w:type="character" w:customStyle="1" w:styleId="EmailStyle3441">
    <w:name w:val="EmailStyle3441"/>
    <w:rPr>
      <w:rFonts w:ascii="Arial" w:eastAsia="Arial" w:hAnsi="Arial" w:cs="Arial"/>
      <w:color w:val="auto"/>
      <w:sz w:val="16"/>
    </w:rPr>
  </w:style>
  <w:style w:type="character" w:customStyle="1" w:styleId="EmailStyle3451">
    <w:name w:val="EmailStyle3451"/>
    <w:rPr>
      <w:rFonts w:ascii="Century Gothic" w:eastAsia="Century Gothic" w:hAnsi="Century Gothic" w:cs="Century Gothic"/>
      <w:color w:val="auto"/>
      <w:sz w:val="20"/>
    </w:rPr>
  </w:style>
  <w:style w:type="character" w:customStyle="1" w:styleId="EmailStyle3461">
    <w:name w:val="EmailStyle3461"/>
    <w:rPr>
      <w:rFonts w:ascii="Arial" w:eastAsia="Arial" w:hAnsi="Arial" w:cs="Arial"/>
      <w:color w:val="auto"/>
      <w:sz w:val="16"/>
    </w:rPr>
  </w:style>
  <w:style w:type="character" w:customStyle="1" w:styleId="EmailStyle3471">
    <w:name w:val="EmailStyle3471"/>
    <w:rPr>
      <w:rFonts w:ascii="Century Gothic" w:eastAsia="Century Gothic" w:hAnsi="Century Gothic" w:cs="Century Gothic"/>
      <w:color w:val="auto"/>
      <w:sz w:val="20"/>
    </w:rPr>
  </w:style>
  <w:style w:type="character" w:customStyle="1" w:styleId="EmailStyle3481">
    <w:name w:val="EmailStyle3481"/>
    <w:rPr>
      <w:rFonts w:ascii="Arial" w:eastAsia="Arial" w:hAnsi="Arial" w:cs="Arial"/>
      <w:color w:val="auto"/>
      <w:sz w:val="16"/>
    </w:rPr>
  </w:style>
  <w:style w:type="character" w:customStyle="1" w:styleId="EmailStyle3491">
    <w:name w:val="EmailStyle3491"/>
    <w:rPr>
      <w:rFonts w:ascii="Century Gothic" w:eastAsia="Century Gothic" w:hAnsi="Century Gothic" w:cs="Century Gothic"/>
      <w:color w:val="auto"/>
      <w:sz w:val="20"/>
    </w:rPr>
  </w:style>
  <w:style w:type="character" w:customStyle="1" w:styleId="EmailStyle3501">
    <w:name w:val="EmailStyle3501"/>
    <w:rPr>
      <w:rFonts w:ascii="Arial" w:eastAsia="Arial" w:hAnsi="Arial" w:cs="Arial"/>
      <w:color w:val="auto"/>
      <w:sz w:val="16"/>
    </w:rPr>
  </w:style>
  <w:style w:type="character" w:customStyle="1" w:styleId="EmailStyle351">
    <w:name w:val="EmailStyle351"/>
    <w:rPr>
      <w:rFonts w:ascii="Century Gothic" w:eastAsia="Century Gothic" w:hAnsi="Century Gothic" w:cs="Century Gothic"/>
      <w:color w:val="auto"/>
      <w:sz w:val="20"/>
    </w:rPr>
  </w:style>
  <w:style w:type="character" w:customStyle="1" w:styleId="EmailStyle352">
    <w:name w:val="EmailStyle352"/>
    <w:rPr>
      <w:rFonts w:ascii="Arial" w:eastAsia="Arial" w:hAnsi="Arial" w:cs="Arial"/>
      <w:color w:val="auto"/>
      <w:sz w:val="16"/>
    </w:rPr>
  </w:style>
  <w:style w:type="character" w:customStyle="1" w:styleId="EmailStyle353">
    <w:name w:val="EmailStyle353"/>
    <w:rPr>
      <w:rFonts w:ascii="Century Gothic" w:eastAsia="Century Gothic" w:hAnsi="Century Gothic" w:cs="Century Gothic"/>
      <w:color w:val="auto"/>
      <w:sz w:val="20"/>
    </w:rPr>
  </w:style>
  <w:style w:type="character" w:customStyle="1" w:styleId="EmailStyle354">
    <w:name w:val="EmailStyle354"/>
    <w:rPr>
      <w:rFonts w:ascii="Arial" w:eastAsia="Arial" w:hAnsi="Arial" w:cs="Arial"/>
      <w:color w:val="auto"/>
      <w:sz w:val="16"/>
    </w:rPr>
  </w:style>
  <w:style w:type="character" w:customStyle="1" w:styleId="EmailStyle355">
    <w:name w:val="EmailStyle355"/>
    <w:rPr>
      <w:rFonts w:ascii="Century Gothic" w:eastAsia="Century Gothic" w:hAnsi="Century Gothic" w:cs="Century Gothic"/>
      <w:color w:val="auto"/>
      <w:sz w:val="20"/>
    </w:rPr>
  </w:style>
  <w:style w:type="character" w:customStyle="1" w:styleId="EmailStyle356">
    <w:name w:val="EmailStyle356"/>
    <w:rPr>
      <w:rFonts w:ascii="Arial" w:eastAsia="Arial" w:hAnsi="Arial" w:cs="Arial"/>
      <w:color w:val="auto"/>
      <w:sz w:val="16"/>
    </w:rPr>
  </w:style>
  <w:style w:type="character" w:customStyle="1" w:styleId="EmailStyle357">
    <w:name w:val="EmailStyle357"/>
    <w:rPr>
      <w:rFonts w:ascii="Century Gothic" w:eastAsia="Century Gothic" w:hAnsi="Century Gothic" w:cs="Century Gothic"/>
      <w:color w:val="auto"/>
      <w:sz w:val="20"/>
    </w:rPr>
  </w:style>
  <w:style w:type="character" w:customStyle="1" w:styleId="EmailStyle358">
    <w:name w:val="EmailStyle358"/>
    <w:rPr>
      <w:rFonts w:ascii="Arial" w:eastAsia="Arial" w:hAnsi="Arial" w:cs="Arial"/>
      <w:color w:val="auto"/>
      <w:sz w:val="16"/>
    </w:rPr>
  </w:style>
  <w:style w:type="character" w:customStyle="1" w:styleId="EmailStyle359">
    <w:name w:val="EmailStyle359"/>
    <w:rPr>
      <w:rFonts w:ascii="Century Gothic" w:eastAsia="Century Gothic" w:hAnsi="Century Gothic" w:cs="Century Gothic"/>
      <w:color w:val="auto"/>
      <w:sz w:val="20"/>
    </w:rPr>
  </w:style>
  <w:style w:type="character" w:customStyle="1" w:styleId="EmailStyle360">
    <w:name w:val="EmailStyle360"/>
    <w:rPr>
      <w:rFonts w:ascii="Arial" w:eastAsia="Arial" w:hAnsi="Arial" w:cs="Arial"/>
      <w:color w:val="auto"/>
      <w:sz w:val="16"/>
    </w:rPr>
  </w:style>
  <w:style w:type="character" w:customStyle="1" w:styleId="EmailStyle361">
    <w:name w:val="EmailStyle361"/>
    <w:rPr>
      <w:rFonts w:ascii="Century Gothic" w:eastAsia="Century Gothic" w:hAnsi="Century Gothic" w:cs="Century Gothic"/>
      <w:color w:val="auto"/>
      <w:sz w:val="20"/>
    </w:rPr>
  </w:style>
  <w:style w:type="character" w:customStyle="1" w:styleId="EmailStyle362">
    <w:name w:val="EmailStyle362"/>
    <w:rPr>
      <w:rFonts w:ascii="Arial" w:eastAsia="Arial" w:hAnsi="Arial" w:cs="Arial"/>
      <w:color w:val="auto"/>
      <w:sz w:val="16"/>
    </w:rPr>
  </w:style>
  <w:style w:type="character" w:customStyle="1" w:styleId="EmailStyle363">
    <w:name w:val="EmailStyle363"/>
    <w:rPr>
      <w:rFonts w:ascii="Century Gothic" w:eastAsia="Century Gothic" w:hAnsi="Century Gothic" w:cs="Century Gothic"/>
      <w:color w:val="auto"/>
      <w:sz w:val="20"/>
    </w:rPr>
  </w:style>
  <w:style w:type="character" w:customStyle="1" w:styleId="EmailStyle364">
    <w:name w:val="EmailStyle364"/>
    <w:rPr>
      <w:rFonts w:ascii="Arial" w:eastAsia="Arial" w:hAnsi="Arial" w:cs="Arial"/>
      <w:color w:val="auto"/>
      <w:sz w:val="16"/>
    </w:rPr>
  </w:style>
  <w:style w:type="character" w:customStyle="1" w:styleId="EmailStyle365">
    <w:name w:val="EmailStyle365"/>
    <w:rPr>
      <w:rFonts w:ascii="Century Gothic" w:eastAsia="Century Gothic" w:hAnsi="Century Gothic" w:cs="Century Gothic"/>
      <w:color w:val="auto"/>
      <w:sz w:val="20"/>
    </w:rPr>
  </w:style>
  <w:style w:type="character" w:customStyle="1" w:styleId="EmailStyle366">
    <w:name w:val="EmailStyle366"/>
    <w:rPr>
      <w:rFonts w:ascii="Arial" w:eastAsia="Arial" w:hAnsi="Arial" w:cs="Arial"/>
      <w:color w:val="auto"/>
      <w:sz w:val="16"/>
    </w:rPr>
  </w:style>
  <w:style w:type="character" w:customStyle="1" w:styleId="EmailStyle367">
    <w:name w:val="EmailStyle367"/>
    <w:rPr>
      <w:rFonts w:ascii="Century Gothic" w:eastAsia="Century Gothic" w:hAnsi="Century Gothic" w:cs="Century Gothic"/>
      <w:color w:val="auto"/>
      <w:sz w:val="20"/>
    </w:rPr>
  </w:style>
  <w:style w:type="character" w:customStyle="1" w:styleId="EmailStyle368">
    <w:name w:val="EmailStyle368"/>
    <w:rPr>
      <w:rFonts w:ascii="Arial" w:eastAsia="Arial" w:hAnsi="Arial" w:cs="Arial"/>
      <w:color w:val="auto"/>
      <w:sz w:val="16"/>
    </w:rPr>
  </w:style>
  <w:style w:type="character" w:customStyle="1" w:styleId="EmailStyle369">
    <w:name w:val="EmailStyle369"/>
    <w:rPr>
      <w:rFonts w:ascii="Century Gothic" w:eastAsia="Century Gothic" w:hAnsi="Century Gothic" w:cs="Century Gothic"/>
      <w:color w:val="auto"/>
      <w:sz w:val="20"/>
    </w:rPr>
  </w:style>
  <w:style w:type="character" w:customStyle="1" w:styleId="EmailStyle370">
    <w:name w:val="EmailStyle370"/>
    <w:rPr>
      <w:rFonts w:ascii="Arial" w:eastAsia="Arial" w:hAnsi="Arial" w:cs="Arial"/>
      <w:color w:val="auto"/>
      <w:sz w:val="16"/>
    </w:rPr>
  </w:style>
  <w:style w:type="character" w:customStyle="1" w:styleId="EmailStyle371">
    <w:name w:val="EmailStyle371"/>
    <w:rPr>
      <w:rFonts w:ascii="Century Gothic" w:eastAsia="Century Gothic" w:hAnsi="Century Gothic" w:cs="Century Gothic"/>
      <w:color w:val="auto"/>
      <w:sz w:val="20"/>
    </w:rPr>
  </w:style>
  <w:style w:type="character" w:customStyle="1" w:styleId="EmailStyle372">
    <w:name w:val="EmailStyle372"/>
    <w:rPr>
      <w:rFonts w:ascii="Arial" w:eastAsia="Arial" w:hAnsi="Arial" w:cs="Arial"/>
      <w:color w:val="auto"/>
      <w:sz w:val="16"/>
    </w:rPr>
  </w:style>
  <w:style w:type="character" w:customStyle="1" w:styleId="EmailStyle373">
    <w:name w:val="EmailStyle373"/>
    <w:rPr>
      <w:rFonts w:ascii="Century Gothic" w:eastAsia="Century Gothic" w:hAnsi="Century Gothic" w:cs="Century Gothic"/>
      <w:color w:val="auto"/>
      <w:sz w:val="20"/>
    </w:rPr>
  </w:style>
  <w:style w:type="character" w:customStyle="1" w:styleId="EmailStyle374">
    <w:name w:val="EmailStyle374"/>
    <w:rPr>
      <w:rFonts w:ascii="Arial" w:eastAsia="Arial" w:hAnsi="Arial" w:cs="Arial"/>
      <w:color w:val="auto"/>
      <w:sz w:val="16"/>
    </w:rPr>
  </w:style>
  <w:style w:type="character" w:customStyle="1" w:styleId="EmailStyle375">
    <w:name w:val="EmailStyle375"/>
    <w:rPr>
      <w:rFonts w:ascii="Century Gothic" w:eastAsia="Century Gothic" w:hAnsi="Century Gothic" w:cs="Century Gothic"/>
      <w:color w:val="auto"/>
      <w:sz w:val="20"/>
    </w:rPr>
  </w:style>
  <w:style w:type="character" w:customStyle="1" w:styleId="EmailStyle376">
    <w:name w:val="EmailStyle376"/>
    <w:rPr>
      <w:rFonts w:ascii="Arial" w:eastAsia="Arial" w:hAnsi="Arial" w:cs="Arial"/>
      <w:color w:val="auto"/>
      <w:sz w:val="16"/>
    </w:rPr>
  </w:style>
  <w:style w:type="character" w:customStyle="1" w:styleId="EmailStyle377">
    <w:name w:val="EmailStyle377"/>
    <w:rPr>
      <w:rFonts w:ascii="Century Gothic" w:eastAsia="Century Gothic" w:hAnsi="Century Gothic" w:cs="Century Gothic"/>
      <w:color w:val="auto"/>
      <w:sz w:val="20"/>
    </w:rPr>
  </w:style>
  <w:style w:type="character" w:customStyle="1" w:styleId="EmailStyle378">
    <w:name w:val="EmailStyle378"/>
    <w:rPr>
      <w:rFonts w:ascii="Arial" w:eastAsia="Arial" w:hAnsi="Arial" w:cs="Arial"/>
      <w:color w:val="auto"/>
      <w:sz w:val="16"/>
    </w:rPr>
  </w:style>
  <w:style w:type="character" w:customStyle="1" w:styleId="EmailStyle379">
    <w:name w:val="EmailStyle379"/>
    <w:rPr>
      <w:rFonts w:ascii="Century Gothic" w:eastAsia="Century Gothic" w:hAnsi="Century Gothic" w:cs="Century Gothic"/>
      <w:color w:val="auto"/>
      <w:sz w:val="20"/>
    </w:rPr>
  </w:style>
  <w:style w:type="character" w:customStyle="1" w:styleId="EmailStyle380">
    <w:name w:val="EmailStyle380"/>
    <w:rPr>
      <w:rFonts w:ascii="Arial" w:eastAsia="Arial" w:hAnsi="Arial" w:cs="Arial"/>
      <w:color w:val="auto"/>
      <w:sz w:val="16"/>
    </w:rPr>
  </w:style>
  <w:style w:type="character" w:customStyle="1" w:styleId="EmailStyle381">
    <w:name w:val="EmailStyle381"/>
    <w:rPr>
      <w:rFonts w:ascii="Century Gothic" w:eastAsia="Century Gothic" w:hAnsi="Century Gothic" w:cs="Century Gothic"/>
      <w:color w:val="auto"/>
      <w:sz w:val="20"/>
    </w:rPr>
  </w:style>
  <w:style w:type="character" w:customStyle="1" w:styleId="EmailStyle382">
    <w:name w:val="EmailStyle382"/>
    <w:rPr>
      <w:rFonts w:ascii="Arial" w:eastAsia="Arial" w:hAnsi="Arial" w:cs="Arial"/>
      <w:color w:val="auto"/>
      <w:sz w:val="16"/>
    </w:rPr>
  </w:style>
  <w:style w:type="character" w:customStyle="1" w:styleId="EmailStyle383">
    <w:name w:val="EmailStyle383"/>
    <w:rPr>
      <w:rFonts w:ascii="Century Gothic" w:eastAsia="Century Gothic" w:hAnsi="Century Gothic" w:cs="Century Gothic"/>
      <w:color w:val="auto"/>
      <w:sz w:val="20"/>
    </w:rPr>
  </w:style>
  <w:style w:type="character" w:customStyle="1" w:styleId="EmailStyle384">
    <w:name w:val="EmailStyle384"/>
    <w:rPr>
      <w:rFonts w:ascii="Arial" w:eastAsia="Arial" w:hAnsi="Arial" w:cs="Arial"/>
      <w:color w:val="auto"/>
      <w:sz w:val="16"/>
    </w:rPr>
  </w:style>
  <w:style w:type="character" w:customStyle="1" w:styleId="EmailStyle385">
    <w:name w:val="EmailStyle385"/>
    <w:rPr>
      <w:rFonts w:ascii="Century Gothic" w:eastAsia="Century Gothic" w:hAnsi="Century Gothic" w:cs="Century Gothic"/>
      <w:color w:val="auto"/>
      <w:sz w:val="20"/>
    </w:rPr>
  </w:style>
  <w:style w:type="character" w:customStyle="1" w:styleId="EmailStyle386">
    <w:name w:val="EmailStyle386"/>
    <w:rPr>
      <w:rFonts w:ascii="Arial" w:eastAsia="Arial" w:hAnsi="Arial" w:cs="Arial"/>
      <w:color w:val="auto"/>
      <w:sz w:val="16"/>
    </w:rPr>
  </w:style>
  <w:style w:type="character" w:customStyle="1" w:styleId="EmailStyle387">
    <w:name w:val="EmailStyle387"/>
    <w:rPr>
      <w:rFonts w:ascii="Century Gothic" w:eastAsia="Century Gothic" w:hAnsi="Century Gothic" w:cs="Century Gothic"/>
      <w:color w:val="auto"/>
      <w:sz w:val="20"/>
    </w:rPr>
  </w:style>
  <w:style w:type="character" w:customStyle="1" w:styleId="EmailStyle388">
    <w:name w:val="EmailStyle388"/>
    <w:rPr>
      <w:rFonts w:ascii="Arial" w:eastAsia="Arial" w:hAnsi="Arial" w:cs="Arial"/>
      <w:color w:val="auto"/>
      <w:sz w:val="16"/>
    </w:rPr>
  </w:style>
  <w:style w:type="character" w:customStyle="1" w:styleId="EmailStyle389">
    <w:name w:val="EmailStyle389"/>
    <w:rPr>
      <w:rFonts w:ascii="Century Gothic" w:eastAsia="Century Gothic" w:hAnsi="Century Gothic" w:cs="Century Gothic"/>
      <w:color w:val="auto"/>
      <w:sz w:val="20"/>
    </w:rPr>
  </w:style>
  <w:style w:type="character" w:customStyle="1" w:styleId="EmailStyle390">
    <w:name w:val="EmailStyle390"/>
    <w:rPr>
      <w:rFonts w:ascii="Arial" w:eastAsia="Arial" w:hAnsi="Arial" w:cs="Arial"/>
      <w:color w:val="auto"/>
      <w:sz w:val="16"/>
    </w:rPr>
  </w:style>
  <w:style w:type="character" w:customStyle="1" w:styleId="EmailStyle391">
    <w:name w:val="EmailStyle391"/>
    <w:rPr>
      <w:rFonts w:ascii="Century Gothic" w:eastAsia="Century Gothic" w:hAnsi="Century Gothic" w:cs="Century Gothic"/>
      <w:color w:val="auto"/>
      <w:sz w:val="20"/>
    </w:rPr>
  </w:style>
  <w:style w:type="character" w:customStyle="1" w:styleId="EmailStyle392">
    <w:name w:val="EmailStyle392"/>
    <w:rPr>
      <w:rFonts w:ascii="Arial" w:eastAsia="Arial" w:hAnsi="Arial" w:cs="Arial"/>
      <w:color w:val="auto"/>
      <w:sz w:val="16"/>
    </w:rPr>
  </w:style>
  <w:style w:type="character" w:customStyle="1" w:styleId="EmailStyle393">
    <w:name w:val="EmailStyle393"/>
    <w:rPr>
      <w:rFonts w:ascii="Century Gothic" w:eastAsia="Century Gothic" w:hAnsi="Century Gothic" w:cs="Century Gothic"/>
      <w:color w:val="auto"/>
      <w:sz w:val="20"/>
    </w:rPr>
  </w:style>
  <w:style w:type="character" w:customStyle="1" w:styleId="EmailStyle394">
    <w:name w:val="EmailStyle39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paragraph" w:customStyle="1" w:styleId="RedaliaRetraitPuceniveau3">
    <w:name w:val="Redalia : Retrait Puce niveau 3"/>
    <w:basedOn w:val="Normal"/>
    <w:pPr>
      <w:numPr>
        <w:numId w:val="8"/>
      </w:numPr>
      <w:tabs>
        <w:tab w:val="left" w:pos="-19881"/>
        <w:tab w:val="left" w:pos="-19440"/>
      </w:tabs>
      <w:spacing w:before="40"/>
      <w:jc w:val="both"/>
    </w:pPr>
  </w:style>
  <w:style w:type="character" w:customStyle="1" w:styleId="RedaliaNormalCar">
    <w:name w:val="Redalia : Normal Car"/>
    <w:basedOn w:val="Policepardfaut"/>
    <w:rPr>
      <w:rFonts w:ascii="ITC Avant Garde Std Bk" w:eastAsia="ITC Avant Garde Std Bk" w:hAnsi="ITC Avant Garde Std Bk" w:cs="ITC Avant Garde Std Bk"/>
      <w:sz w:val="22"/>
    </w:rPr>
  </w:style>
  <w:style w:type="paragraph" w:customStyle="1" w:styleId="Default">
    <w:name w:val="Default"/>
    <w:pPr>
      <w:autoSpaceDE w:val="0"/>
      <w:textAlignment w:val="auto"/>
    </w:pPr>
    <w:rPr>
      <w:rFonts w:ascii="Arial" w:hAnsi="Arial" w:cs="Arial"/>
      <w:color w:val="000000"/>
      <w:sz w:val="24"/>
      <w:szCs w:val="24"/>
    </w:rPr>
  </w:style>
  <w:style w:type="character" w:customStyle="1" w:styleId="hgkelc">
    <w:name w:val="hgkelc"/>
    <w:basedOn w:val="Policepardfaut"/>
  </w:style>
  <w:style w:type="paragraph" w:styleId="Objetducommentaire">
    <w:name w:val="annotation subject"/>
    <w:basedOn w:val="Commentaire"/>
    <w:next w:val="Commentaire"/>
    <w:rPr>
      <w:b/>
      <w:bCs/>
      <w:sz w:val="20"/>
    </w:rPr>
  </w:style>
  <w:style w:type="character" w:customStyle="1" w:styleId="CommentaireCar1">
    <w:name w:val="Commentaire Car1"/>
    <w:basedOn w:val="Policepardfaut"/>
    <w:rPr>
      <w:rFonts w:ascii="ITC Avant Garde Std Bk" w:eastAsia="ITC Avant Garde Std Bk" w:hAnsi="ITC Avant Garde Std Bk" w:cs="ITC Avant Garde Std Bk"/>
      <w:sz w:val="22"/>
    </w:rPr>
  </w:style>
  <w:style w:type="character" w:customStyle="1" w:styleId="ObjetducommentaireCar">
    <w:name w:val="Objet du commentaire Car"/>
    <w:basedOn w:val="CommentaireCar1"/>
    <w:rPr>
      <w:rFonts w:ascii="ITC Avant Garde Std Bk" w:eastAsia="ITC Avant Garde Std Bk" w:hAnsi="ITC Avant Garde Std Bk" w:cs="ITC Avant Garde Std Bk"/>
      <w:b/>
      <w:bCs/>
      <w:sz w:val="22"/>
    </w:rPr>
  </w:style>
  <w:style w:type="character" w:customStyle="1" w:styleId="ParagraphedelisteCar">
    <w:name w:val="Paragraphe de liste Car"/>
    <w:basedOn w:val="Policepardfaut"/>
    <w:rPr>
      <w:rFonts w:ascii="ITC Avant Garde Std Bk" w:eastAsia="ITC Avant Garde Std Bk" w:hAnsi="ITC Avant Garde Std Bk" w:cs="ITC Avant Garde Std Bk"/>
      <w:sz w:val="22"/>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paragraph" w:customStyle="1" w:styleId="Normal2">
    <w:name w:val="Normal2"/>
    <w:basedOn w:val="Normal"/>
    <w:pPr>
      <w:keepLines/>
      <w:widowControl/>
      <w:tabs>
        <w:tab w:val="left" w:pos="567"/>
        <w:tab w:val="left" w:pos="851"/>
        <w:tab w:val="left" w:pos="1134"/>
      </w:tabs>
      <w:suppressAutoHyphens w:val="0"/>
      <w:ind w:left="284" w:firstLine="284"/>
      <w:jc w:val="both"/>
      <w:textAlignment w:val="auto"/>
    </w:pPr>
    <w:rPr>
      <w:rFonts w:ascii="Times New Roman" w:eastAsia="Times New Roman" w:hAnsi="Times New Roman" w:cs="Times New Roman"/>
    </w:rPr>
  </w:style>
  <w:style w:type="numbering" w:customStyle="1" w:styleId="WWOutlineListStyle4">
    <w:name w:val="WW_OutlineListStyle_4"/>
    <w:basedOn w:val="Aucuneliste"/>
    <w:pPr>
      <w:numPr>
        <w:numId w:val="2"/>
      </w:numPr>
    </w:pPr>
  </w:style>
  <w:style w:type="numbering" w:customStyle="1" w:styleId="WWOutlineListStyle13">
    <w:name w:val="WW_OutlineListStyle_13"/>
    <w:basedOn w:val="Aucuneliste"/>
    <w:pPr>
      <w:numPr>
        <w:numId w:val="3"/>
      </w:numPr>
    </w:pPr>
  </w:style>
  <w:style w:type="numbering" w:customStyle="1" w:styleId="WWOutlineListStyle3">
    <w:name w:val="WW_OutlineListStyle_3"/>
    <w:basedOn w:val="Aucuneliste"/>
    <w:pPr>
      <w:numPr>
        <w:numId w:val="4"/>
      </w:numPr>
    </w:pPr>
  </w:style>
  <w:style w:type="numbering" w:customStyle="1" w:styleId="WWOutlineListStyle2">
    <w:name w:val="WW_OutlineListStyle_2"/>
    <w:basedOn w:val="Aucuneliste"/>
    <w:pPr>
      <w:numPr>
        <w:numId w:val="5"/>
      </w:numPr>
    </w:pPr>
  </w:style>
  <w:style w:type="numbering" w:customStyle="1" w:styleId="WWOutlineListStyle1">
    <w:name w:val="WW_OutlineListStyle_1"/>
    <w:basedOn w:val="Aucuneliste"/>
    <w:pPr>
      <w:numPr>
        <w:numId w:val="6"/>
      </w:numPr>
    </w:pPr>
  </w:style>
  <w:style w:type="numbering" w:customStyle="1" w:styleId="WWOutlineListStyle">
    <w:name w:val="WW_OutlineListStyle"/>
    <w:basedOn w:val="Aucuneliste"/>
    <w:pPr>
      <w:numPr>
        <w:numId w:val="7"/>
      </w:numPr>
    </w:pPr>
  </w:style>
  <w:style w:type="numbering" w:customStyle="1" w:styleId="LFO2">
    <w:name w:val="LFO2"/>
    <w:basedOn w:val="Aucuneliste"/>
    <w:pPr>
      <w:numPr>
        <w:numId w:val="8"/>
      </w:numPr>
    </w:pPr>
  </w:style>
  <w:style w:type="numbering" w:customStyle="1" w:styleId="Outline">
    <w:name w:val="Outline"/>
    <w:basedOn w:val="Aucuneliste"/>
    <w:pPr>
      <w:numPr>
        <w:numId w:val="9"/>
      </w:numPr>
    </w:pPr>
  </w:style>
  <w:style w:type="numbering" w:customStyle="1" w:styleId="LFO10">
    <w:name w:val="LFO10"/>
    <w:basedOn w:val="Aucuneliste"/>
    <w:pPr>
      <w:numPr>
        <w:numId w:val="10"/>
      </w:numPr>
    </w:pPr>
  </w:style>
  <w:style w:type="numbering" w:customStyle="1" w:styleId="WWOutlineListStyle12">
    <w:name w:val="WW_OutlineListStyle_12"/>
    <w:basedOn w:val="Aucuneliste"/>
    <w:pPr>
      <w:numPr>
        <w:numId w:val="11"/>
      </w:numPr>
    </w:pPr>
  </w:style>
  <w:style w:type="numbering" w:customStyle="1" w:styleId="List1">
    <w:name w:val="List 1"/>
    <w:basedOn w:val="Aucuneliste"/>
    <w:pPr>
      <w:numPr>
        <w:numId w:val="12"/>
      </w:numPr>
    </w:pPr>
  </w:style>
  <w:style w:type="numbering" w:customStyle="1" w:styleId="LFO1">
    <w:name w:val="LFO1"/>
    <w:basedOn w:val="Aucuneliste"/>
    <w:pPr>
      <w:numPr>
        <w:numId w:val="13"/>
      </w:numPr>
    </w:pPr>
  </w:style>
  <w:style w:type="numbering" w:customStyle="1" w:styleId="LFO4">
    <w:name w:val="LFO4"/>
    <w:basedOn w:val="Aucuneliste"/>
    <w:pPr>
      <w:numPr>
        <w:numId w:val="14"/>
      </w:numPr>
    </w:pPr>
  </w:style>
  <w:style w:type="numbering" w:customStyle="1" w:styleId="LFO5">
    <w:name w:val="LFO5"/>
    <w:basedOn w:val="Aucuneliste"/>
    <w:pPr>
      <w:numPr>
        <w:numId w:val="15"/>
      </w:numPr>
    </w:pPr>
  </w:style>
  <w:style w:type="numbering" w:customStyle="1" w:styleId="LFO18">
    <w:name w:val="LFO18"/>
    <w:basedOn w:val="Aucuneliste"/>
    <w:pPr>
      <w:numPr>
        <w:numId w:val="16"/>
      </w:numPr>
    </w:pPr>
  </w:style>
  <w:style w:type="numbering" w:customStyle="1" w:styleId="LFO20">
    <w:name w:val="LFO20"/>
    <w:basedOn w:val="Aucuneliste"/>
    <w:pPr>
      <w:numPr>
        <w:numId w:val="17"/>
      </w:numPr>
    </w:pPr>
  </w:style>
  <w:style w:type="numbering" w:customStyle="1" w:styleId="LFO21">
    <w:name w:val="LFO21"/>
    <w:basedOn w:val="Aucuneliste"/>
    <w:pPr>
      <w:numPr>
        <w:numId w:val="18"/>
      </w:numPr>
    </w:pPr>
  </w:style>
  <w:style w:type="numbering" w:customStyle="1" w:styleId="LFO22">
    <w:name w:val="LFO22"/>
    <w:basedOn w:val="Aucuneliste"/>
    <w:pPr>
      <w:numPr>
        <w:numId w:val="19"/>
      </w:numPr>
    </w:pPr>
  </w:style>
  <w:style w:type="numbering" w:customStyle="1" w:styleId="LFO23">
    <w:name w:val="LFO23"/>
    <w:basedOn w:val="Aucuneliste"/>
    <w:pPr>
      <w:numPr>
        <w:numId w:val="20"/>
      </w:numPr>
    </w:pPr>
  </w:style>
  <w:style w:type="numbering" w:customStyle="1" w:styleId="LFO24">
    <w:name w:val="LFO24"/>
    <w:basedOn w:val="Aucuneliste"/>
    <w:pPr>
      <w:numPr>
        <w:numId w:val="21"/>
      </w:numPr>
    </w:pPr>
  </w:style>
  <w:style w:type="numbering" w:customStyle="1" w:styleId="LFO28">
    <w:name w:val="LFO28"/>
    <w:basedOn w:val="Aucuneliste"/>
    <w:pPr>
      <w:numPr>
        <w:numId w:val="22"/>
      </w:numPr>
    </w:pPr>
  </w:style>
  <w:style w:type="numbering" w:customStyle="1" w:styleId="LFO29">
    <w:name w:val="LFO29"/>
    <w:basedOn w:val="Aucuneliste"/>
    <w:pPr>
      <w:numPr>
        <w:numId w:val="23"/>
      </w:numPr>
    </w:pPr>
  </w:style>
  <w:style w:type="numbering" w:customStyle="1" w:styleId="LFO25">
    <w:name w:val="LFO25"/>
    <w:basedOn w:val="Aucuneliste"/>
    <w:pPr>
      <w:numPr>
        <w:numId w:val="24"/>
      </w:numPr>
    </w:pPr>
  </w:style>
  <w:style w:type="numbering" w:customStyle="1" w:styleId="LFO26">
    <w:name w:val="LFO26"/>
    <w:basedOn w:val="Aucuneliste"/>
    <w:pPr>
      <w:numPr>
        <w:numId w:val="25"/>
      </w:numPr>
    </w:pPr>
  </w:style>
  <w:style w:type="numbering" w:customStyle="1" w:styleId="LFO33">
    <w:name w:val="LFO33"/>
    <w:basedOn w:val="Aucuneliste"/>
    <w:pPr>
      <w:numPr>
        <w:numId w:val="26"/>
      </w:numPr>
    </w:pPr>
  </w:style>
  <w:style w:type="numbering" w:customStyle="1" w:styleId="LFO35">
    <w:name w:val="LFO35"/>
    <w:basedOn w:val="Aucuneliste"/>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658936">
      <w:bodyDiv w:val="1"/>
      <w:marLeft w:val="0"/>
      <w:marRight w:val="0"/>
      <w:marTop w:val="0"/>
      <w:marBottom w:val="0"/>
      <w:divBdr>
        <w:top w:val="none" w:sz="0" w:space="0" w:color="auto"/>
        <w:left w:val="none" w:sz="0" w:space="0" w:color="auto"/>
        <w:bottom w:val="none" w:sz="0" w:space="0" w:color="auto"/>
        <w:right w:val="none" w:sz="0" w:space="0" w:color="auto"/>
      </w:divBdr>
    </w:div>
    <w:div w:id="1405646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marches-publics.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ume.chorus-pro.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spd/"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ebgate.ec.europa.eu/tl-browse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7F87E-7CB8-43FE-9A60-2209C5918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19</Pages>
  <Words>6342</Words>
  <Characters>34881</Characters>
  <Application>Microsoft Office Word</Application>
  <DocSecurity>0</DocSecurity>
  <Lines>290</Lines>
  <Paragraphs>82</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41141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MOTTA Patricia</cp:lastModifiedBy>
  <cp:revision>12</cp:revision>
  <dcterms:created xsi:type="dcterms:W3CDTF">2025-04-24T10:43:00Z</dcterms:created>
  <dcterms:modified xsi:type="dcterms:W3CDTF">2025-04-28T07:05:00Z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ProcedureAvecMiseEnConc</vt:lpwstr>
  </property>
  <property fmtid="{D5CDD505-2E9C-101B-9397-08002B2CF9AE}" pid="5" name="ElementContenant">
    <vt:lpwstr>AC_RC_COM</vt:lpwstr>
  </property>
  <property fmtid="{D5CDD505-2E9C-101B-9397-08002B2CF9AE}" pid="6" name="ElementPrecedent">
    <vt:lpwstr>AC_RC_COM_Structure_des_AC</vt:lpwstr>
  </property>
  <property fmtid="{D5CDD505-2E9C-101B-9397-08002B2CF9AE}" pid="7" name="IdentifiantEdition">
    <vt:lpwstr>AC_RC_COM</vt:lpwstr>
  </property>
  <property fmtid="{D5CDD505-2E9C-101B-9397-08002B2CF9AE}" pid="8" name="NomSegment">
    <vt:lpwstr>RC_COM_Annexe_signature_electronique</vt:lpwstr>
  </property>
  <property fmtid="{D5CDD505-2E9C-101B-9397-08002B2CF9AE}" pid="9" name="NouveauElement">
    <vt:lpwstr>PrestationsIdentiques</vt:lpwstr>
  </property>
  <property fmtid="{D5CDD505-2E9C-101B-9397-08002B2CF9AE}" pid="10" name="ResultatCommande">
    <vt:lpwstr>Ok</vt:lpwstr>
  </property>
</Properties>
</file>